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pacing w:val="12"/>
          <w:sz w:val="28"/>
          <w:szCs w:val="28"/>
        </w:rPr>
        <w:t>附件</w:t>
      </w:r>
    </w:p>
    <w:p>
      <w:pPr>
        <w:spacing w:line="288" w:lineRule="auto"/>
        <w:rPr>
          <w:rFonts w:ascii="Arial"/>
          <w:sz w:val="21"/>
        </w:rPr>
      </w:pPr>
    </w:p>
    <w:p>
      <w:pPr>
        <w:spacing w:before="143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  <w:t>轮中央生态环境保护督察第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  <w:t>项整改任务完成情况表</w:t>
      </w:r>
    </w:p>
    <w:bookmarkEnd w:id="0"/>
    <w:p>
      <w:pPr>
        <w:spacing w:before="25"/>
      </w:pPr>
    </w:p>
    <w:p>
      <w:pPr>
        <w:spacing w:before="25"/>
      </w:pPr>
    </w:p>
    <w:tbl>
      <w:tblPr>
        <w:tblStyle w:val="6"/>
        <w:tblW w:w="8850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61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63" w:hRule="atLeast"/>
        </w:trPr>
        <w:tc>
          <w:tcPr>
            <w:tcW w:w="2712" w:type="dxa"/>
            <w:vAlign w:val="top"/>
          </w:tcPr>
          <w:p>
            <w:pPr>
              <w:pStyle w:val="7"/>
              <w:spacing w:line="348" w:lineRule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  <w:p>
            <w:pPr>
              <w:pStyle w:val="7"/>
              <w:spacing w:line="349" w:lineRule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  <w:p>
            <w:pPr>
              <w:spacing w:before="91" w:line="219" w:lineRule="auto"/>
              <w:ind w:left="78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8"/>
                <w:szCs w:val="28"/>
              </w:rPr>
              <w:t>整改任务</w:t>
            </w:r>
          </w:p>
        </w:tc>
        <w:tc>
          <w:tcPr>
            <w:tcW w:w="6138" w:type="dxa"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河道内违法建设旅游设施。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船山区犀牛堤码头位于涪江河道内，应禁止建设任何影响河道行洪的构筑物，但于2020年建设旋转木马等游乐设施、映月湾滨水休闲港等餐饮服务设施，共占地2100平方米。（市整改任务第三项）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2712" w:type="dxa"/>
            <w:vAlign w:val="top"/>
          </w:tcPr>
          <w:p>
            <w:pPr>
              <w:pStyle w:val="7"/>
              <w:spacing w:line="244" w:lineRule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  <w:p>
            <w:pPr>
              <w:pStyle w:val="7"/>
              <w:spacing w:line="245" w:lineRule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  <w:p>
            <w:pPr>
              <w:spacing w:before="91" w:line="219" w:lineRule="auto"/>
              <w:ind w:left="505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整改实施主体</w:t>
            </w:r>
          </w:p>
        </w:tc>
        <w:tc>
          <w:tcPr>
            <w:tcW w:w="6138" w:type="dxa"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统筹城乡中心，商务文旅中心、建设交运局、综合执法局、各镇（街道）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12" w:type="dxa"/>
            <w:vAlign w:val="top"/>
          </w:tcPr>
          <w:p>
            <w:pPr>
              <w:spacing w:before="245" w:line="219" w:lineRule="auto"/>
              <w:ind w:left="785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8"/>
                <w:szCs w:val="28"/>
              </w:rPr>
              <w:t>整改目标</w:t>
            </w:r>
          </w:p>
        </w:tc>
        <w:tc>
          <w:tcPr>
            <w:tcW w:w="6138" w:type="dxa"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拆除游乐、服务设施，规范码头管理。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9" w:hRule="atLeast"/>
        </w:trPr>
        <w:tc>
          <w:tcPr>
            <w:tcW w:w="2712" w:type="dxa"/>
            <w:vAlign w:val="top"/>
          </w:tcPr>
          <w:p>
            <w:pPr>
              <w:spacing w:before="246" w:line="219" w:lineRule="auto"/>
              <w:ind w:left="785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</w:rPr>
              <w:t>整改时限</w:t>
            </w:r>
          </w:p>
        </w:tc>
        <w:tc>
          <w:tcPr>
            <w:tcW w:w="6138" w:type="dxa"/>
            <w:vAlign w:val="center"/>
          </w:tcPr>
          <w:p>
            <w:pPr>
              <w:pStyle w:val="7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2024年10月。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38" w:hRule="atLeast"/>
        </w:trPr>
        <w:tc>
          <w:tcPr>
            <w:tcW w:w="2712" w:type="dxa"/>
            <w:vAlign w:val="top"/>
          </w:tcPr>
          <w:p>
            <w:pPr>
              <w:pStyle w:val="7"/>
              <w:spacing w:line="321" w:lineRule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  <w:p>
            <w:pPr>
              <w:pStyle w:val="7"/>
              <w:spacing w:line="321" w:lineRule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  <w:p>
            <w:pPr>
              <w:spacing w:before="91" w:line="219" w:lineRule="auto"/>
              <w:ind w:left="785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</w:rPr>
              <w:t>整改措施</w:t>
            </w:r>
          </w:p>
        </w:tc>
        <w:tc>
          <w:tcPr>
            <w:tcW w:w="6138" w:type="dxa"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1.2024年10月底前，完成全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河道内违法建设旅游设施问题排查整治工作，建立问题清单，有序推进整改。</w:t>
            </w:r>
          </w:p>
          <w:p>
            <w:pPr>
              <w:pStyle w:val="7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2.加强日常监管、巡查，确保所有问题整改到位不反弹。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2" w:hRule="atLeast"/>
        </w:trPr>
        <w:tc>
          <w:tcPr>
            <w:tcW w:w="2712" w:type="dxa"/>
            <w:vAlign w:val="top"/>
          </w:tcPr>
          <w:p>
            <w:pPr>
              <w:pStyle w:val="7"/>
              <w:spacing w:line="272" w:lineRule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  <w:p>
            <w:pPr>
              <w:pStyle w:val="7"/>
              <w:spacing w:line="272" w:lineRule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  <w:p>
            <w:pPr>
              <w:pStyle w:val="7"/>
              <w:spacing w:line="273" w:lineRule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  <w:p>
            <w:pPr>
              <w:pStyle w:val="7"/>
              <w:spacing w:line="273" w:lineRule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  <w:p>
            <w:pPr>
              <w:spacing w:before="91" w:line="333" w:lineRule="auto"/>
              <w:ind w:left="924" w:right="498" w:hanging="41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8"/>
                <w:szCs w:val="28"/>
              </w:rPr>
              <w:t>整改主要工作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8"/>
                <w:szCs w:val="28"/>
              </w:rPr>
              <w:t>及成效</w:t>
            </w:r>
          </w:p>
        </w:tc>
        <w:tc>
          <w:tcPr>
            <w:tcW w:w="6138" w:type="dxa"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一是遂宁经开区制定举一反三，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2024年10月底前，统筹城乡中心统筹督促各行业主管部门，各镇（街道）完成全区河道内违法建设旅游设施问题排查整治工作，建立问题清单，有序推进整改；统筹城乡中心统筹督促各行业主管部门，各镇（街道）加强日常监管、巡查，确保所有问题整改到位不反弹等2条整改措施。</w:t>
            </w:r>
          </w:p>
          <w:p>
            <w:pPr>
              <w:pStyle w:val="7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二是区统筹城乡中心组织各镇（街道）对河道管理范围内全覆盖进行排查，同时举一反三对河道河湖岸线“四乱”问题排查。经多次排查，暂未发现我区存在任何影响河道行洪的构筑物与河湖“四乱”问题。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sectPr>
      <w:footerReference r:id="rId5" w:type="default"/>
      <w:pgSz w:w="11900" w:h="16840"/>
      <w:pgMar w:top="1431" w:right="1514" w:bottom="1386" w:left="1484" w:header="0" w:footer="98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7625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5EB0CB3"/>
    <w:rsid w:val="73FFB308"/>
    <w:rsid w:val="DB9E7862"/>
    <w:rsid w:val="E3EFB159"/>
    <w:rsid w:val="EFFF8906"/>
    <w:rsid w:val="F8EB1C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304</Words>
  <Characters>321</Characters>
  <TotalTime>207</TotalTime>
  <ScaleCrop>false</ScaleCrop>
  <LinksUpToDate>false</LinksUpToDate>
  <CharactersWithSpaces>361</CharactersWithSpaces>
  <Application>WPS Office_11.8.2.10195_F1E327BC-269C-435d-A152-05C5408002CA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2025-11-29T02:41:00Z</dcterms:created>
  <dc:creator>15469</dc:creator>
  <cp:lastModifiedBy> </cp:lastModifiedBy>
  <cp:lastPrinted>2025-11-28T19:32:00Z</cp:lastPrinted>
  <dcterms:modified xsi:type="dcterms:W3CDTF">2025-12-02T10:58:08Z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2025-11-28T10:41:25Z</vt:filetime>
  </property>
  <property fmtid="{D5CDD505-2E9C-101B-9397-08002B2CF9AE}" pid="4" name="UsrData">
    <vt:lpwstr>69290bd27a3595001fff1e87wl</vt:lpwstr>
  </property>
  <property fmtid="{D5CDD505-2E9C-101B-9397-08002B2CF9AE}" pid="5" name="KSOTemplateDocerSaveRecord">
    <vt:lpwstr>eyJoZGlkIjoiNWZkNzMyODU3ZTAyYWUzYWE5Zjc4Mzk0YzUxMDY5YTUiLCJ1c2VySWQiOiI0MzgwMDgzODEifQ==</vt:lpwstr>
  </property>
  <property fmtid="{D5CDD505-2E9C-101B-9397-08002B2CF9AE}" pid="6" name="KSOProductBuildVer">
    <vt:lpwstr>2052-11.8.2.10195</vt:lpwstr>
  </property>
  <property fmtid="{D5CDD505-2E9C-101B-9397-08002B2CF9AE}" pid="7" name="ICV">
    <vt:lpwstr>2F29E34E8E144786B473E7CEEA90546D_13</vt:lpwstr>
  </property>
</Properties>
</file>