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75" w:beforeAutospacing="0" w:after="75" w:afterAutospacing="0"/>
        <w:ind w:left="0" w:right="0" w:firstLine="0"/>
        <w:jc w:val="center"/>
        <w:rPr>
          <w:rFonts w:hint="default" w:ascii="方正小标宋简体" w:hAnsi="方正小标宋简体" w:eastAsia="方正小标宋简体" w:cs="方正小标宋简体"/>
          <w:i w:val="0"/>
          <w:caps w:val="0"/>
          <w:color w:val="000000"/>
          <w:spacing w:val="0"/>
          <w:sz w:val="52"/>
          <w:szCs w:val="52"/>
          <w:lang w:val="en-US" w:eastAsia="zh-CN"/>
        </w:rPr>
      </w:pPr>
      <w:bookmarkStart w:id="0" w:name="_GoBack"/>
      <w:bookmarkEnd w:id="0"/>
    </w:p>
    <w:p>
      <w:pPr>
        <w:pStyle w:val="7"/>
        <w:keepNext w:val="0"/>
        <w:keepLines w:val="0"/>
        <w:widowControl/>
        <w:suppressLineNumbers w:val="0"/>
        <w:spacing w:before="75" w:beforeAutospacing="0" w:after="75" w:afterAutospacing="0"/>
        <w:ind w:left="0" w:right="0" w:firstLine="0"/>
        <w:jc w:val="center"/>
        <w:rPr>
          <w:rFonts w:hint="eastAsia" w:ascii="方正小标宋简体" w:hAnsi="方正小标宋简体" w:eastAsia="方正小标宋简体" w:cs="方正小标宋简体"/>
          <w:i w:val="0"/>
          <w:caps w:val="0"/>
          <w:color w:val="000000"/>
          <w:spacing w:val="0"/>
          <w:sz w:val="52"/>
          <w:szCs w:val="52"/>
          <w:lang w:val="en-US" w:eastAsia="zh-CN"/>
        </w:rPr>
      </w:pPr>
    </w:p>
    <w:p>
      <w:pPr>
        <w:pStyle w:val="7"/>
        <w:keepNext w:val="0"/>
        <w:keepLines w:val="0"/>
        <w:widowControl/>
        <w:suppressLineNumbers w:val="0"/>
        <w:spacing w:before="75" w:beforeAutospacing="0" w:after="75" w:afterAutospacing="0"/>
        <w:ind w:left="0" w:right="0" w:firstLine="0"/>
        <w:jc w:val="center"/>
        <w:rPr>
          <w:rFonts w:hint="eastAsia" w:ascii="方正小标宋简体" w:hAnsi="方正小标宋简体" w:eastAsia="方正小标宋简体" w:cs="方正小标宋简体"/>
          <w:i w:val="0"/>
          <w:caps w:val="0"/>
          <w:color w:val="000000"/>
          <w:spacing w:val="0"/>
          <w:sz w:val="52"/>
          <w:szCs w:val="52"/>
          <w:lang w:val="en-US" w:eastAsia="zh-CN"/>
        </w:rPr>
      </w:pPr>
    </w:p>
    <w:p>
      <w:pPr>
        <w:pStyle w:val="7"/>
        <w:keepNext w:val="0"/>
        <w:keepLines w:val="0"/>
        <w:widowControl/>
        <w:suppressLineNumbers w:val="0"/>
        <w:spacing w:before="75" w:beforeAutospacing="0" w:after="75" w:afterAutospacing="0"/>
        <w:ind w:left="0" w:right="0" w:firstLine="0"/>
        <w:jc w:val="center"/>
        <w:rPr>
          <w:rFonts w:hint="eastAsia" w:ascii="方正小标宋简体" w:hAnsi="方正小标宋简体" w:eastAsia="方正小标宋简体" w:cs="方正小标宋简体"/>
          <w:i w:val="0"/>
          <w:caps w:val="0"/>
          <w:color w:val="000000"/>
          <w:spacing w:val="0"/>
          <w:sz w:val="52"/>
          <w:szCs w:val="52"/>
          <w:lang w:val="en-US" w:eastAsia="zh-CN"/>
        </w:rPr>
      </w:pPr>
    </w:p>
    <w:p>
      <w:pPr>
        <w:pStyle w:val="7"/>
        <w:keepNext w:val="0"/>
        <w:keepLines w:val="0"/>
        <w:widowControl/>
        <w:suppressLineNumbers w:val="0"/>
        <w:spacing w:before="75" w:beforeAutospacing="0" w:after="75" w:afterAutospacing="0"/>
        <w:ind w:left="0" w:right="0" w:firstLine="0"/>
        <w:jc w:val="center"/>
        <w:rPr>
          <w:rFonts w:hint="eastAsia" w:ascii="方正小标宋简体" w:hAnsi="方正小标宋简体" w:eastAsia="方正小标宋简体" w:cs="方正小标宋简体"/>
          <w:i w:val="0"/>
          <w:caps w:val="0"/>
          <w:color w:val="000000"/>
          <w:spacing w:val="0"/>
          <w:sz w:val="52"/>
          <w:szCs w:val="52"/>
          <w:lang w:val="en-US" w:eastAsia="zh-CN"/>
        </w:rPr>
      </w:pPr>
      <w:r>
        <w:rPr>
          <w:rFonts w:hint="eastAsia" w:ascii="方正小标宋简体" w:hAnsi="方正小标宋简体" w:eastAsia="方正小标宋简体" w:cs="方正小标宋简体"/>
          <w:i w:val="0"/>
          <w:caps w:val="0"/>
          <w:color w:val="000000"/>
          <w:spacing w:val="0"/>
          <w:sz w:val="52"/>
          <w:szCs w:val="52"/>
          <w:lang w:val="en-US" w:eastAsia="zh-CN"/>
        </w:rPr>
        <w:t>遂宁经济技术开发区统筹城乡建设发展中心</w:t>
      </w:r>
    </w:p>
    <w:p>
      <w:pPr>
        <w:pStyle w:val="7"/>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r>
        <w:rPr>
          <w:rFonts w:hint="eastAsia" w:ascii="方正小标宋简体" w:hAnsi="方正小标宋简体" w:eastAsia="方正小标宋简体" w:cs="方正小标宋简体"/>
          <w:i w:val="0"/>
          <w:caps w:val="0"/>
          <w:color w:val="000000"/>
          <w:spacing w:val="0"/>
          <w:sz w:val="52"/>
          <w:szCs w:val="52"/>
          <w:lang w:val="en-US" w:eastAsia="zh-CN"/>
        </w:rPr>
        <w:t>2025年度</w:t>
      </w:r>
      <w:r>
        <w:rPr>
          <w:rFonts w:hint="default" w:ascii="方正小标宋简体" w:hAnsi="方正小标宋简体" w:eastAsia="方正小标宋简体" w:cs="方正小标宋简体"/>
          <w:i w:val="0"/>
          <w:caps w:val="0"/>
          <w:color w:val="000000"/>
          <w:spacing w:val="0"/>
          <w:sz w:val="52"/>
          <w:szCs w:val="52"/>
        </w:rPr>
        <w:t>部门预算</w:t>
      </w:r>
    </w:p>
    <w:p>
      <w:pPr>
        <w:pStyle w:val="7"/>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7"/>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7"/>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7"/>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7"/>
        <w:keepNext w:val="0"/>
        <w:keepLines w:val="0"/>
        <w:widowControl/>
        <w:suppressLineNumbers w:val="0"/>
        <w:spacing w:before="75" w:beforeAutospacing="0" w:after="75" w:afterAutospacing="0" w:line="600" w:lineRule="atLeast"/>
        <w:ind w:left="0" w:right="0" w:firstLine="0"/>
        <w:jc w:val="both"/>
        <w:rPr>
          <w:rFonts w:ascii="黑体" w:hAnsi="宋体" w:eastAsia="黑体" w:cs="黑体"/>
          <w:i w:val="0"/>
          <w:caps w:val="0"/>
          <w:color w:val="000000"/>
          <w:spacing w:val="0"/>
          <w:sz w:val="32"/>
          <w:szCs w:val="32"/>
        </w:rPr>
        <w:sectPr>
          <w:pgSz w:w="11906" w:h="16838"/>
          <w:pgMar w:top="1440" w:right="1800" w:bottom="1440" w:left="1800" w:header="720" w:footer="720" w:gutter="0"/>
          <w:pgNumType w:fmt="decimal"/>
          <w:cols w:space="720" w:num="1"/>
          <w:docGrid w:type="lines" w:linePitch="312" w:charSpace="0"/>
        </w:sectPr>
      </w:pPr>
    </w:p>
    <w:p>
      <w:pPr>
        <w:pStyle w:val="7"/>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caps w:val="0"/>
          <w:color w:val="000000"/>
          <w:spacing w:val="0"/>
          <w:sz w:val="24"/>
          <w:szCs w:val="24"/>
        </w:rPr>
      </w:pPr>
      <w:r>
        <w:rPr>
          <w:rFonts w:ascii="黑体" w:hAnsi="宋体" w:eastAsia="黑体" w:cs="黑体"/>
          <w:i w:val="0"/>
          <w:caps w:val="0"/>
          <w:color w:val="000000"/>
          <w:spacing w:val="0"/>
          <w:sz w:val="32"/>
          <w:szCs w:val="32"/>
        </w:rPr>
        <w:t>目录</w:t>
      </w:r>
    </w:p>
    <w:p>
      <w:pPr>
        <w:pStyle w:val="7"/>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第一部分部门预算编制说明</w:t>
      </w:r>
    </w:p>
    <w:p>
      <w:pPr>
        <w:pStyle w:val="7"/>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rPr>
      </w:pPr>
      <w:r>
        <w:rPr>
          <w:rFonts w:hint="default" w:ascii="仿宋_GB2312" w:hAnsi="sans-serif" w:eastAsia="仿宋_GB2312" w:cs="仿宋_GB2312"/>
          <w:i w:val="0"/>
          <w:caps w:val="0"/>
          <w:color w:val="000000"/>
          <w:spacing w:val="0"/>
          <w:sz w:val="32"/>
          <w:szCs w:val="32"/>
        </w:rPr>
        <w:t>一、基本职能及主要工作</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二、部门预算单位构成</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三、收支预算情况说明</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四、财政拨款收支预算情况说明</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五、一般公共预算当年拨款情况说明</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六、一般公共预算基本支出情况说明</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七、“三公”经费财政拨款预算安排情况说明</w:t>
      </w:r>
    </w:p>
    <w:p>
      <w:pPr>
        <w:pStyle w:val="7"/>
        <w:keepNext w:val="0"/>
        <w:keepLines w:val="0"/>
        <w:widowControl/>
        <w:suppressLineNumbers w:val="0"/>
        <w:spacing w:before="75" w:beforeAutospacing="0" w:after="75" w:afterAutospacing="0" w:line="600" w:lineRule="atLeast"/>
        <w:ind w:left="638" w:leftChars="304" w:right="0" w:firstLine="0" w:firstLineChars="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八、“会议费”“培训费”“差旅费”财政拨款预算安排情况说明</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九、政府性基金预算支出情况说明</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十、国有资本经营预算支出情况说明</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十一、其他重要事项的情况说明</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十二、名词解释</w:t>
      </w:r>
    </w:p>
    <w:p>
      <w:pPr>
        <w:pStyle w:val="7"/>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第二部分部门预算相关报表</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表1.部门收支总表</w:t>
      </w:r>
      <w:r>
        <w:rPr>
          <w:rFonts w:hint="eastAsia" w:ascii="仿宋_GB2312" w:hAnsi="sans-serif" w:eastAsia="仿宋_GB2312" w:cs="仿宋_GB2312"/>
          <w:i w:val="0"/>
          <w:caps w:val="0"/>
          <w:color w:val="000000"/>
          <w:spacing w:val="0"/>
          <w:sz w:val="32"/>
          <w:szCs w:val="32"/>
          <w:lang w:val="en-US" w:eastAsia="zh-CN"/>
        </w:rPr>
        <w:t xml:space="preserve"> </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表1-1.部门收入总表</w:t>
      </w:r>
      <w:r>
        <w:rPr>
          <w:rFonts w:hint="eastAsia" w:ascii="仿宋_GB2312" w:hAnsi="sans-serif" w:eastAsia="仿宋_GB2312" w:cs="仿宋_GB2312"/>
          <w:i w:val="0"/>
          <w:caps w:val="0"/>
          <w:color w:val="000000"/>
          <w:spacing w:val="0"/>
          <w:sz w:val="32"/>
          <w:szCs w:val="32"/>
          <w:lang w:val="en-US" w:eastAsia="zh-CN"/>
        </w:rPr>
        <w:t xml:space="preserve"> </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表1-2.部门支出总表</w:t>
      </w:r>
      <w:r>
        <w:rPr>
          <w:rFonts w:hint="eastAsia" w:ascii="仿宋_GB2312" w:hAnsi="sans-serif" w:eastAsia="仿宋_GB2312" w:cs="仿宋_GB2312"/>
          <w:i w:val="0"/>
          <w:caps w:val="0"/>
          <w:color w:val="000000"/>
          <w:spacing w:val="0"/>
          <w:sz w:val="32"/>
          <w:szCs w:val="32"/>
          <w:lang w:val="en-US" w:eastAsia="zh-CN"/>
        </w:rPr>
        <w:t xml:space="preserve"> </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表2.财政拨款收支预算总表</w:t>
      </w:r>
      <w:r>
        <w:rPr>
          <w:rFonts w:hint="eastAsia" w:ascii="仿宋_GB2312" w:hAnsi="sans-serif" w:eastAsia="仿宋_GB2312" w:cs="仿宋_GB2312"/>
          <w:i w:val="0"/>
          <w:caps w:val="0"/>
          <w:color w:val="000000"/>
          <w:spacing w:val="0"/>
          <w:sz w:val="32"/>
          <w:szCs w:val="32"/>
          <w:lang w:val="en-US" w:eastAsia="zh-CN"/>
        </w:rPr>
        <w:t xml:space="preserve"> </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表2-1.财政拨款支出预算表（政府经济分类科目）</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表3.一般公共预算支出预算表</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表3-1.一般公共预算基本支出预算表</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表3-2.一般公共预算项目支出预算表</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表3-3.一般公共预算“三公”经费支出预算表</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表4.政府性基金支出预算表</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表4-1.政府性基金预算“三公”经费支出预算表</w:t>
      </w:r>
      <w:r>
        <w:rPr>
          <w:rFonts w:hint="eastAsia" w:ascii="仿宋_GB2312" w:hAnsi="sans-serif" w:eastAsia="仿宋_GB2312" w:cs="仿宋_GB2312"/>
          <w:i w:val="0"/>
          <w:caps w:val="0"/>
          <w:color w:val="000000"/>
          <w:spacing w:val="0"/>
          <w:sz w:val="32"/>
          <w:szCs w:val="32"/>
          <w:lang w:val="en-US" w:eastAsia="zh-CN"/>
        </w:rPr>
        <w:t xml:space="preserve"> </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表5.国有资本经营预算支出预算表</w:t>
      </w:r>
      <w:r>
        <w:rPr>
          <w:rFonts w:hint="eastAsia" w:ascii="仿宋_GB2312" w:hAnsi="sans-serif" w:eastAsia="仿宋_GB2312" w:cs="仿宋_GB2312"/>
          <w:i w:val="0"/>
          <w:caps w:val="0"/>
          <w:color w:val="000000"/>
          <w:spacing w:val="0"/>
          <w:sz w:val="32"/>
          <w:szCs w:val="32"/>
          <w:lang w:val="en-US" w:eastAsia="zh-CN"/>
        </w:rPr>
        <w:t xml:space="preserve"> </w:t>
      </w:r>
    </w:p>
    <w:p>
      <w:pPr>
        <w:pStyle w:val="3"/>
        <w:bidi w:val="0"/>
        <w:rPr>
          <w:rFonts w:hint="default" w:ascii="黑体" w:hAnsi="宋体" w:eastAsia="黑体" w:cs="黑体"/>
          <w:i w:val="0"/>
          <w:caps w:val="0"/>
          <w:color w:val="000000"/>
          <w:spacing w:val="0"/>
          <w:kern w:val="0"/>
          <w:sz w:val="32"/>
          <w:szCs w:val="32"/>
          <w:lang w:val="en-US" w:eastAsia="zh-CN" w:bidi="ar"/>
        </w:rPr>
      </w:pPr>
      <w:r>
        <w:rPr>
          <w:rFonts w:hint="default" w:ascii="黑体" w:hAnsi="宋体" w:eastAsia="黑体" w:cs="黑体"/>
          <w:i w:val="0"/>
          <w:caps w:val="0"/>
          <w:color w:val="000000"/>
          <w:spacing w:val="0"/>
          <w:kern w:val="0"/>
          <w:sz w:val="32"/>
          <w:szCs w:val="32"/>
          <w:lang w:val="en-US" w:eastAsia="zh-CN" w:bidi="ar"/>
        </w:rPr>
        <w:t>第三部分部门预算绩效目标表</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lang w:val="en-US"/>
        </w:rPr>
      </w:pPr>
      <w:r>
        <w:rPr>
          <w:rFonts w:hint="default" w:ascii="仿宋_GB2312" w:hAnsi="sans-serif" w:eastAsia="仿宋_GB2312" w:cs="仿宋_GB2312"/>
          <w:i w:val="0"/>
          <w:caps w:val="0"/>
          <w:color w:val="000000"/>
          <w:spacing w:val="0"/>
          <w:sz w:val="32"/>
          <w:szCs w:val="32"/>
        </w:rPr>
        <w:t>表1.部门整体支出绩效目标表</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仿宋_GB2312" w:cs="sans-serif"/>
          <w:i w:val="0"/>
          <w:caps w:val="0"/>
          <w:color w:val="000000"/>
          <w:spacing w:val="0"/>
          <w:sz w:val="24"/>
          <w:szCs w:val="24"/>
          <w:lang w:val="en-US" w:eastAsia="zh-CN"/>
        </w:rPr>
      </w:pPr>
      <w:r>
        <w:rPr>
          <w:rFonts w:hint="default" w:ascii="仿宋_GB2312" w:hAnsi="sans-serif" w:eastAsia="仿宋_GB2312" w:cs="仿宋_GB2312"/>
          <w:i w:val="0"/>
          <w:caps w:val="0"/>
          <w:color w:val="000000"/>
          <w:spacing w:val="0"/>
          <w:sz w:val="32"/>
          <w:szCs w:val="32"/>
        </w:rPr>
        <w:t>表2.部门预算项目支出绩效目标表</w:t>
      </w:r>
      <w:r>
        <w:rPr>
          <w:rFonts w:hint="eastAsia" w:ascii="仿宋_GB2312" w:hAnsi="sans-serif" w:eastAsia="仿宋_GB2312" w:cs="仿宋_GB2312"/>
          <w:i w:val="0"/>
          <w:caps w:val="0"/>
          <w:color w:val="000000"/>
          <w:spacing w:val="0"/>
          <w:sz w:val="32"/>
          <w:szCs w:val="32"/>
          <w:lang w:val="en-US" w:eastAsia="zh-CN"/>
        </w:rPr>
        <w:t xml:space="preserve">  </w:t>
      </w:r>
    </w:p>
    <w:p>
      <w:pPr>
        <w:pStyle w:val="7"/>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7"/>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7"/>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7"/>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7"/>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7"/>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7"/>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7"/>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7"/>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7"/>
        <w:keepNext w:val="0"/>
        <w:keepLines w:val="0"/>
        <w:widowControl/>
        <w:suppressLineNumbers w:val="0"/>
        <w:spacing w:before="75" w:beforeAutospacing="0" w:after="75" w:afterAutospacing="0" w:line="600" w:lineRule="atLeast"/>
        <w:ind w:left="0" w:right="0" w:firstLine="0"/>
        <w:jc w:val="center"/>
        <w:rPr>
          <w:rFonts w:hint="eastAsia" w:ascii="方正小标宋简体" w:hAnsi="方正小标宋简体" w:eastAsia="方正小标宋简体" w:cs="方正小标宋简体"/>
          <w:i w:val="0"/>
          <w:caps w:val="0"/>
          <w:color w:val="000000"/>
          <w:spacing w:val="0"/>
          <w:sz w:val="43"/>
          <w:szCs w:val="43"/>
          <w:lang w:val="en-US" w:eastAsia="zh-CN"/>
        </w:rPr>
      </w:pPr>
      <w:r>
        <w:rPr>
          <w:rFonts w:hint="eastAsia" w:ascii="方正小标宋简体" w:hAnsi="方正小标宋简体" w:eastAsia="方正小标宋简体" w:cs="方正小标宋简体"/>
          <w:i w:val="0"/>
          <w:caps w:val="0"/>
          <w:color w:val="000000"/>
          <w:spacing w:val="0"/>
          <w:sz w:val="43"/>
          <w:szCs w:val="43"/>
          <w:lang w:val="en-US" w:eastAsia="zh-CN"/>
        </w:rPr>
        <w:t>遂宁经济技术开发区统筹城乡建设发展中心</w:t>
      </w:r>
    </w:p>
    <w:p>
      <w:pPr>
        <w:pStyle w:val="7"/>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caps w:val="0"/>
          <w:color w:val="000000"/>
          <w:spacing w:val="0"/>
          <w:sz w:val="24"/>
          <w:szCs w:val="24"/>
        </w:rPr>
      </w:pPr>
      <w:r>
        <w:rPr>
          <w:rFonts w:hint="eastAsia" w:ascii="方正小标宋简体" w:hAnsi="方正小标宋简体" w:eastAsia="方正小标宋简体" w:cs="方正小标宋简体"/>
          <w:i w:val="0"/>
          <w:caps w:val="0"/>
          <w:color w:val="000000"/>
          <w:spacing w:val="0"/>
          <w:sz w:val="43"/>
          <w:szCs w:val="43"/>
          <w:lang w:val="en-US" w:eastAsia="zh-CN"/>
        </w:rPr>
        <w:t>2025</w:t>
      </w:r>
      <w:r>
        <w:rPr>
          <w:rFonts w:hint="default" w:ascii="方正小标宋简体" w:hAnsi="方正小标宋简体" w:eastAsia="方正小标宋简体" w:cs="方正小标宋简体"/>
          <w:i w:val="0"/>
          <w:caps w:val="0"/>
          <w:color w:val="000000"/>
          <w:spacing w:val="0"/>
          <w:sz w:val="43"/>
          <w:szCs w:val="43"/>
        </w:rPr>
        <w:t>年部门预算编制说明</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一、基本职能及主要工作</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10"/>
          <w:rFonts w:ascii="楷体_GB2312" w:hAnsi="sans-serif" w:eastAsia="楷体_GB2312" w:cs="楷体_GB2312"/>
          <w:i w:val="0"/>
          <w:caps w:val="0"/>
          <w:color w:val="000000"/>
          <w:spacing w:val="0"/>
          <w:sz w:val="32"/>
          <w:szCs w:val="32"/>
        </w:rPr>
        <w:t>（一）</w:t>
      </w:r>
      <w:r>
        <w:rPr>
          <w:rStyle w:val="10"/>
          <w:rFonts w:hint="default" w:ascii="楷体_GB2312" w:hAnsi="sans-serif" w:eastAsia="楷体_GB2312" w:cs="楷体_GB2312"/>
          <w:i w:val="0"/>
          <w:caps w:val="0"/>
          <w:color w:val="000000"/>
          <w:spacing w:val="0"/>
          <w:sz w:val="32"/>
          <w:szCs w:val="32"/>
        </w:rPr>
        <w:t>职能简介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1.统筹研究和组织实施"三农"工作发展规划和重大政策。具体负责贯彻执行国家农业、水利、林业、畜牧、扶贫移民工作的方针政策和法律法规，制定计划并组织实施。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2.负责统筹乡村振兴战略，牵头组织农村人居环境改善、乡村特色产业发展、农产品加工、农业投资管理等工作。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3.负责统筹全区脱贫攻坚工作。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4.负责协调种植养殖业、农业机械化、农产品质量安全等监督管理；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5.负责农业防灾减灾、动植物重大病虫害防治及农田建设管理、农业对外交流合作工作。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6.协调、指挥全区防汛抗旱工作。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7.负责重要江河、水库、滩涂治理和开发。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8.负责水土保持、节约用水等工作。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9.指导协调农田水利基本建设。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10.负责移民安置统筹工作。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11.统筹协调农业综合执法。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12.负责指导农村饮水安全、节水灌溉等工程建设与管理工作。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13.负责协调动物防疫、动物及动物产品检疫监督管理工作。</w:t>
      </w:r>
    </w:p>
    <w:p>
      <w:pPr>
        <w:pStyle w:val="7"/>
        <w:keepNext w:val="0"/>
        <w:keepLines w:val="0"/>
        <w:widowControl/>
        <w:suppressLineNumbers w:val="0"/>
        <w:spacing w:before="75" w:beforeAutospacing="0" w:after="75" w:afterAutospacing="0" w:line="600" w:lineRule="atLeast"/>
        <w:ind w:left="0" w:right="0" w:firstLine="630"/>
        <w:rPr>
          <w:rStyle w:val="10"/>
          <w:rFonts w:hint="default" w:ascii="楷体_GB2312" w:hAnsi="sans-serif" w:eastAsia="楷体_GB2312" w:cs="楷体_GB2312"/>
          <w:i w:val="0"/>
          <w:caps w:val="0"/>
          <w:color w:val="000000"/>
          <w:spacing w:val="0"/>
          <w:sz w:val="32"/>
          <w:szCs w:val="32"/>
        </w:rPr>
      </w:pPr>
      <w:r>
        <w:rPr>
          <w:rStyle w:val="10"/>
          <w:rFonts w:hint="default" w:ascii="楷体_GB2312" w:hAnsi="sans-serif" w:eastAsia="楷体_GB2312" w:cs="楷体_GB2312"/>
          <w:i w:val="0"/>
          <w:caps w:val="0"/>
          <w:color w:val="000000"/>
          <w:spacing w:val="0"/>
          <w:sz w:val="32"/>
          <w:szCs w:val="32"/>
        </w:rPr>
        <w:t>（二）统筹中心</w:t>
      </w:r>
      <w:r>
        <w:rPr>
          <w:rStyle w:val="10"/>
          <w:rFonts w:hint="eastAsia" w:ascii="楷体_GB2312" w:hAnsi="sans-serif" w:eastAsia="楷体_GB2312" w:cs="楷体_GB2312"/>
          <w:i w:val="0"/>
          <w:caps w:val="0"/>
          <w:color w:val="000000"/>
          <w:spacing w:val="0"/>
          <w:sz w:val="32"/>
          <w:szCs w:val="32"/>
          <w:lang w:eastAsia="zh-CN"/>
        </w:rPr>
        <w:t>202</w:t>
      </w:r>
      <w:r>
        <w:rPr>
          <w:rStyle w:val="10"/>
          <w:rFonts w:hint="eastAsia" w:ascii="楷体_GB2312" w:hAnsi="sans-serif" w:eastAsia="楷体_GB2312" w:cs="楷体_GB2312"/>
          <w:i w:val="0"/>
          <w:caps w:val="0"/>
          <w:color w:val="000000"/>
          <w:spacing w:val="0"/>
          <w:sz w:val="32"/>
          <w:szCs w:val="32"/>
          <w:lang w:val="en-US" w:eastAsia="zh-CN"/>
        </w:rPr>
        <w:t>5</w:t>
      </w:r>
      <w:r>
        <w:rPr>
          <w:rStyle w:val="10"/>
          <w:rFonts w:hint="default" w:ascii="楷体_GB2312" w:hAnsi="sans-serif" w:eastAsia="楷体_GB2312" w:cs="楷体_GB2312"/>
          <w:i w:val="0"/>
          <w:caps w:val="0"/>
          <w:color w:val="000000"/>
          <w:spacing w:val="0"/>
          <w:sz w:val="32"/>
          <w:szCs w:val="32"/>
        </w:rPr>
        <w:t>年重点工作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牵头抓好第一产业发展，完成市政府下达目标任务。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牵头抓好巩固拓展脱贫攻坚成果同乡村振兴有效衔接，常态化开展动态监测和帮扶，加快凤阁村精品村建设。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牵头抓好河湖长制、防汛抗旱、长江流域重点水域禁捕退捕工作。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完成唐家渡电航移民安置工作年度计划任务。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完成500亩撂荒地整治任务。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牵头抓好农村地区人居环境整治工作，完成1714户衣村厕所革命改造任务。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牵头抓好非洲猪瘟及重大动物疫情防控工作。</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统筹中心下属二级预算单位0个，其中行政单位0个，参照公务员法管理的事业单位0个，其他事业单位0个。</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三、收支预算情况说明</w:t>
      </w:r>
    </w:p>
    <w:p>
      <w:pPr>
        <w:pStyle w:val="7"/>
        <w:keepNext w:val="0"/>
        <w:keepLines w:val="0"/>
        <w:widowControl/>
        <w:suppressLineNumbers w:val="0"/>
        <w:spacing w:before="75" w:beforeAutospacing="0" w:after="75" w:afterAutospacing="0" w:line="600" w:lineRule="atLeast"/>
        <w:ind w:left="0" w:right="0" w:firstLine="630"/>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按照综合预算的原则，</w:t>
      </w:r>
      <w:r>
        <w:rPr>
          <w:rFonts w:hint="eastAsia" w:ascii="仿宋_GB2312" w:hAnsi="仿宋_GB2312" w:eastAsia="仿宋_GB2312" w:cs="仿宋_GB2312"/>
          <w:color w:val="auto"/>
          <w:kern w:val="2"/>
          <w:sz w:val="32"/>
          <w:szCs w:val="32"/>
          <w:lang w:val="en-US" w:eastAsia="zh-CN" w:bidi="ar-SA"/>
        </w:rPr>
        <w:t>统筹中心</w:t>
      </w:r>
      <w:r>
        <w:rPr>
          <w:rFonts w:hint="default" w:ascii="仿宋_GB2312" w:hAnsi="仿宋_GB2312" w:eastAsia="仿宋_GB2312" w:cs="仿宋_GB2312"/>
          <w:color w:val="auto"/>
          <w:kern w:val="2"/>
          <w:sz w:val="32"/>
          <w:szCs w:val="32"/>
          <w:lang w:val="en-US" w:eastAsia="zh-CN" w:bidi="ar-SA"/>
        </w:rPr>
        <w:t>所有收入和支出均纳入部门预算管理。收入包括：一般公共预算拨款收入</w:t>
      </w:r>
      <w:r>
        <w:rPr>
          <w:rFonts w:hint="eastAsia" w:ascii="仿宋_GB2312" w:hAnsi="仿宋_GB2312" w:eastAsia="仿宋_GB2312" w:cs="仿宋_GB2312"/>
          <w:color w:val="auto"/>
          <w:kern w:val="2"/>
          <w:sz w:val="32"/>
          <w:szCs w:val="32"/>
          <w:lang w:val="en-US" w:eastAsia="zh-CN" w:bidi="ar-SA"/>
        </w:rPr>
        <w:t>143.98万元</w:t>
      </w:r>
      <w:r>
        <w:rPr>
          <w:rFonts w:hint="default" w:ascii="仿宋_GB2312" w:hAnsi="仿宋_GB2312" w:eastAsia="仿宋_GB2312" w:cs="仿宋_GB2312"/>
          <w:color w:val="auto"/>
          <w:kern w:val="2"/>
          <w:sz w:val="32"/>
          <w:szCs w:val="32"/>
          <w:lang w:val="en-US" w:eastAsia="zh-CN" w:bidi="ar-SA"/>
        </w:rPr>
        <w:t>；支出包括：</w:t>
      </w:r>
      <w:r>
        <w:rPr>
          <w:rFonts w:hint="eastAsia" w:ascii="仿宋_GB2312" w:hAnsi="仿宋_GB2312" w:eastAsia="仿宋_GB2312" w:cs="仿宋_GB2312"/>
          <w:color w:val="auto"/>
          <w:kern w:val="2"/>
          <w:sz w:val="32"/>
          <w:szCs w:val="32"/>
          <w:lang w:val="en-US" w:eastAsia="zh-CN" w:bidi="ar-SA"/>
        </w:rPr>
        <w:t>农林水支出143.98万元</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统筹中心2025</w:t>
      </w:r>
      <w:r>
        <w:rPr>
          <w:rFonts w:hint="default" w:ascii="仿宋_GB2312" w:hAnsi="仿宋_GB2312" w:eastAsia="仿宋_GB2312" w:cs="仿宋_GB2312"/>
          <w:color w:val="auto"/>
          <w:kern w:val="2"/>
          <w:sz w:val="32"/>
          <w:szCs w:val="32"/>
          <w:lang w:val="en-US" w:eastAsia="zh-CN" w:bidi="ar-SA"/>
        </w:rPr>
        <w:t>年收支总预算</w:t>
      </w:r>
      <w:r>
        <w:rPr>
          <w:rFonts w:hint="eastAsia" w:ascii="仿宋_GB2312" w:hAnsi="仿宋_GB2312" w:eastAsia="仿宋_GB2312" w:cs="仿宋_GB2312"/>
          <w:color w:val="auto"/>
          <w:kern w:val="2"/>
          <w:sz w:val="32"/>
          <w:szCs w:val="32"/>
          <w:lang w:val="en-US" w:eastAsia="zh-CN" w:bidi="ar-SA"/>
        </w:rPr>
        <w:t>143.98</w:t>
      </w:r>
      <w:r>
        <w:rPr>
          <w:rFonts w:hint="default" w:ascii="仿宋_GB2312" w:hAnsi="仿宋_GB2312" w:eastAsia="仿宋_GB2312" w:cs="仿宋_GB2312"/>
          <w:color w:val="auto"/>
          <w:kern w:val="2"/>
          <w:sz w:val="32"/>
          <w:szCs w:val="32"/>
          <w:lang w:val="en-US" w:eastAsia="zh-CN" w:bidi="ar-SA"/>
        </w:rPr>
        <w:t>万元，较上年收支预算总数</w:t>
      </w:r>
      <w:r>
        <w:rPr>
          <w:rFonts w:hint="eastAsia" w:ascii="仿宋_GB2312" w:hAnsi="仿宋_GB2312" w:eastAsia="仿宋_GB2312" w:cs="仿宋_GB2312"/>
          <w:color w:val="auto"/>
          <w:kern w:val="2"/>
          <w:sz w:val="32"/>
          <w:szCs w:val="32"/>
          <w:lang w:val="en-US" w:eastAsia="zh-CN" w:bidi="ar-SA"/>
        </w:rPr>
        <w:t>减少2.54</w:t>
      </w:r>
      <w:r>
        <w:rPr>
          <w:rFonts w:hint="default" w:ascii="仿宋_GB2312" w:hAnsi="仿宋_GB2312" w:eastAsia="仿宋_GB2312" w:cs="仿宋_GB2312"/>
          <w:color w:val="auto"/>
          <w:kern w:val="2"/>
          <w:sz w:val="32"/>
          <w:szCs w:val="32"/>
          <w:lang w:val="en-US" w:eastAsia="zh-CN" w:bidi="ar-SA"/>
        </w:rPr>
        <w:t>万元</w:t>
      </w:r>
      <w:r>
        <w:rPr>
          <w:rFonts w:hint="eastAsia" w:ascii="仿宋_GB2312" w:hAnsi="仿宋_GB2312" w:eastAsia="仿宋_GB2312" w:cs="仿宋_GB2312"/>
          <w:color w:val="auto"/>
          <w:kern w:val="2"/>
          <w:sz w:val="32"/>
          <w:szCs w:val="32"/>
          <w:lang w:val="en-US" w:eastAsia="zh-CN" w:bidi="ar-SA"/>
        </w:rPr>
        <w:t>，主要是财政节流</w:t>
      </w:r>
      <w:r>
        <w:rPr>
          <w:rFonts w:hint="default" w:ascii="仿宋_GB2312" w:hAnsi="仿宋_GB2312" w:eastAsia="仿宋_GB2312" w:cs="仿宋_GB2312"/>
          <w:color w:val="auto"/>
          <w:kern w:val="2"/>
          <w:sz w:val="32"/>
          <w:szCs w:val="32"/>
          <w:lang w:val="en-US" w:eastAsia="zh-CN" w:bidi="ar-SA"/>
        </w:rPr>
        <w:t>。</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统筹中心2025</w:t>
      </w:r>
      <w:r>
        <w:rPr>
          <w:rFonts w:hint="default" w:ascii="仿宋_GB2312" w:hAnsi="仿宋_GB2312" w:eastAsia="仿宋_GB2312" w:cs="仿宋_GB2312"/>
          <w:sz w:val="32"/>
          <w:szCs w:val="32"/>
          <w:lang w:val="en-US" w:eastAsia="zh-CN"/>
        </w:rPr>
        <w:t>年收入预算</w:t>
      </w:r>
      <w:r>
        <w:rPr>
          <w:rFonts w:hint="eastAsia" w:ascii="仿宋_GB2312" w:hAnsi="仿宋_GB2312" w:eastAsia="仿宋_GB2312" w:cs="仿宋_GB2312"/>
          <w:color w:val="auto"/>
          <w:kern w:val="2"/>
          <w:sz w:val="32"/>
          <w:szCs w:val="32"/>
          <w:lang w:val="en-US" w:eastAsia="zh-CN" w:bidi="ar-SA"/>
        </w:rPr>
        <w:t>143.98</w:t>
      </w:r>
      <w:r>
        <w:rPr>
          <w:rFonts w:hint="default" w:ascii="仿宋_GB2312" w:hAnsi="仿宋_GB2312" w:eastAsia="仿宋_GB2312" w:cs="仿宋_GB2312"/>
          <w:sz w:val="32"/>
          <w:szCs w:val="32"/>
          <w:lang w:val="en-US" w:eastAsia="zh-CN"/>
        </w:rPr>
        <w:t>万元，其中：一般公共预算拨款收入</w:t>
      </w:r>
      <w:r>
        <w:rPr>
          <w:rFonts w:hint="eastAsia" w:ascii="仿宋_GB2312" w:hAnsi="仿宋_GB2312" w:eastAsia="仿宋_GB2312" w:cs="仿宋_GB2312"/>
          <w:color w:val="auto"/>
          <w:kern w:val="2"/>
          <w:sz w:val="32"/>
          <w:szCs w:val="32"/>
          <w:lang w:val="en-US" w:eastAsia="zh-CN" w:bidi="ar-SA"/>
        </w:rPr>
        <w:t>143.98</w:t>
      </w:r>
      <w:r>
        <w:rPr>
          <w:rFonts w:hint="default" w:ascii="仿宋_GB2312" w:hAnsi="仿宋_GB2312" w:eastAsia="仿宋_GB2312" w:cs="仿宋_GB2312"/>
          <w:sz w:val="32"/>
          <w:szCs w:val="32"/>
          <w:lang w:val="en-US" w:eastAsia="zh-CN"/>
        </w:rPr>
        <w:t>万元，占</w:t>
      </w:r>
      <w:r>
        <w:rPr>
          <w:rFonts w:hint="eastAsia" w:ascii="仿宋_GB2312" w:hAnsi="仿宋_GB2312" w:eastAsia="仿宋_GB2312" w:cs="仿宋_GB2312"/>
          <w:sz w:val="32"/>
          <w:szCs w:val="32"/>
          <w:lang w:val="en-US" w:eastAsia="zh-CN"/>
        </w:rPr>
        <w:t>100.00</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；上年结转结余一般公共预算0万元，占0%</w:t>
      </w:r>
      <w:r>
        <w:rPr>
          <w:rFonts w:hint="default" w:ascii="仿宋_GB2312" w:hAnsi="仿宋_GB2312" w:eastAsia="仿宋_GB2312" w:cs="仿宋_GB2312"/>
          <w:sz w:val="32"/>
          <w:szCs w:val="32"/>
          <w:lang w:val="en-US" w:eastAsia="zh-CN"/>
        </w:rPr>
        <w:t>。</w:t>
      </w:r>
    </w:p>
    <w:p>
      <w:pPr>
        <w:pStyle w:val="7"/>
        <w:keepNext w:val="0"/>
        <w:keepLines w:val="0"/>
        <w:widowControl/>
        <w:suppressLineNumbers w:val="0"/>
        <w:spacing w:before="75" w:beforeAutospacing="0" w:after="75" w:afterAutospacing="0" w:line="600" w:lineRule="atLeast"/>
        <w:ind w:left="0" w:right="0" w:firstLine="630"/>
        <w:rPr>
          <w:rStyle w:val="10"/>
          <w:rFonts w:hint="default" w:ascii="楷体_GB2312" w:hAnsi="sans-serif" w:eastAsia="楷体_GB2312" w:cs="楷体_GB2312"/>
          <w:i w:val="0"/>
          <w:caps w:val="0"/>
          <w:color w:val="000000"/>
          <w:spacing w:val="0"/>
          <w:sz w:val="32"/>
          <w:szCs w:val="32"/>
        </w:rPr>
      </w:pPr>
      <w:r>
        <w:rPr>
          <w:rStyle w:val="10"/>
          <w:rFonts w:hint="default" w:ascii="楷体_GB2312" w:hAnsi="sans-serif" w:eastAsia="楷体_GB2312" w:cs="楷体_GB2312"/>
          <w:i w:val="0"/>
          <w:caps w:val="0"/>
          <w:color w:val="000000"/>
          <w:spacing w:val="0"/>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统筹中心2025</w:t>
      </w:r>
      <w:r>
        <w:rPr>
          <w:rFonts w:hint="default" w:ascii="仿宋_GB2312" w:hAnsi="仿宋_GB2312" w:eastAsia="仿宋_GB2312" w:cs="仿宋_GB2312"/>
          <w:sz w:val="32"/>
          <w:szCs w:val="32"/>
          <w:lang w:val="en-US" w:eastAsia="zh-CN"/>
        </w:rPr>
        <w:t>年支出预算</w:t>
      </w:r>
      <w:r>
        <w:rPr>
          <w:rFonts w:hint="eastAsia" w:ascii="仿宋_GB2312" w:hAnsi="仿宋_GB2312" w:eastAsia="仿宋_GB2312" w:cs="仿宋_GB2312"/>
          <w:color w:val="auto"/>
          <w:kern w:val="2"/>
          <w:sz w:val="32"/>
          <w:szCs w:val="32"/>
          <w:lang w:val="en-US" w:eastAsia="zh-CN" w:bidi="ar-SA"/>
        </w:rPr>
        <w:t>143.98</w:t>
      </w:r>
      <w:r>
        <w:rPr>
          <w:rFonts w:hint="default" w:ascii="仿宋_GB2312" w:hAnsi="仿宋_GB2312" w:eastAsia="仿宋_GB2312" w:cs="仿宋_GB2312"/>
          <w:sz w:val="32"/>
          <w:szCs w:val="32"/>
          <w:lang w:val="en-US" w:eastAsia="zh-CN"/>
        </w:rPr>
        <w:t>万元，其中：基本支出</w:t>
      </w:r>
      <w:r>
        <w:rPr>
          <w:rFonts w:hint="eastAsia" w:ascii="仿宋_GB2312" w:hAnsi="仿宋_GB2312" w:eastAsia="仿宋_GB2312" w:cs="仿宋_GB2312"/>
          <w:sz w:val="32"/>
          <w:szCs w:val="32"/>
          <w:lang w:val="en-US" w:eastAsia="zh-CN"/>
        </w:rPr>
        <w:t>22.2</w:t>
      </w:r>
      <w:r>
        <w:rPr>
          <w:rFonts w:hint="default" w:ascii="仿宋_GB2312" w:hAnsi="仿宋_GB2312" w:eastAsia="仿宋_GB2312" w:cs="仿宋_GB2312"/>
          <w:sz w:val="32"/>
          <w:szCs w:val="32"/>
          <w:lang w:val="en-US" w:eastAsia="zh-CN"/>
        </w:rPr>
        <w:t>万元，占</w:t>
      </w:r>
      <w:r>
        <w:rPr>
          <w:rFonts w:hint="eastAsia" w:ascii="仿宋_GB2312" w:hAnsi="仿宋_GB2312" w:eastAsia="仿宋_GB2312" w:cs="仿宋_GB2312"/>
          <w:sz w:val="32"/>
          <w:szCs w:val="32"/>
          <w:lang w:val="en-US" w:eastAsia="zh-CN"/>
        </w:rPr>
        <w:t>15.41</w:t>
      </w:r>
      <w:r>
        <w:rPr>
          <w:rFonts w:hint="default" w:ascii="仿宋_GB2312" w:hAnsi="仿宋_GB2312" w:eastAsia="仿宋_GB2312" w:cs="仿宋_GB2312"/>
          <w:sz w:val="32"/>
          <w:szCs w:val="32"/>
          <w:lang w:val="en-US" w:eastAsia="zh-CN"/>
        </w:rPr>
        <w:t>%；项目支出</w:t>
      </w:r>
      <w:r>
        <w:rPr>
          <w:rFonts w:hint="eastAsia" w:ascii="仿宋_GB2312" w:hAnsi="仿宋_GB2312" w:eastAsia="仿宋_GB2312" w:cs="仿宋_GB2312"/>
          <w:sz w:val="32"/>
          <w:szCs w:val="32"/>
          <w:lang w:val="en-US" w:eastAsia="zh-CN"/>
        </w:rPr>
        <w:t>121.78</w:t>
      </w:r>
      <w:r>
        <w:rPr>
          <w:rFonts w:hint="default" w:ascii="仿宋_GB2312" w:hAnsi="仿宋_GB2312" w:eastAsia="仿宋_GB2312" w:cs="仿宋_GB2312"/>
          <w:sz w:val="32"/>
          <w:szCs w:val="32"/>
          <w:lang w:val="en-US" w:eastAsia="zh-CN"/>
        </w:rPr>
        <w:t>万元，占</w:t>
      </w:r>
      <w:r>
        <w:rPr>
          <w:rFonts w:hint="eastAsia" w:ascii="仿宋_GB2312" w:hAnsi="仿宋_GB2312" w:eastAsia="仿宋_GB2312" w:cs="仿宋_GB2312"/>
          <w:sz w:val="32"/>
          <w:szCs w:val="32"/>
          <w:lang w:val="en-US" w:eastAsia="zh-CN"/>
        </w:rPr>
        <w:t>84.59%</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统筹中心2025</w:t>
      </w:r>
      <w:r>
        <w:rPr>
          <w:rFonts w:hint="default" w:ascii="仿宋_GB2312" w:hAnsi="仿宋_GB2312" w:eastAsia="仿宋_GB2312" w:cs="仿宋_GB2312"/>
          <w:sz w:val="32"/>
          <w:szCs w:val="32"/>
          <w:lang w:val="en-US" w:eastAsia="zh-CN"/>
        </w:rPr>
        <w:t>年收支总预算</w:t>
      </w:r>
      <w:r>
        <w:rPr>
          <w:rFonts w:hint="eastAsia" w:ascii="仿宋_GB2312" w:hAnsi="仿宋_GB2312" w:eastAsia="仿宋_GB2312" w:cs="仿宋_GB2312"/>
          <w:color w:val="auto"/>
          <w:kern w:val="2"/>
          <w:sz w:val="32"/>
          <w:szCs w:val="32"/>
          <w:lang w:val="en-US" w:eastAsia="zh-CN" w:bidi="ar-SA"/>
        </w:rPr>
        <w:t>143.98</w:t>
      </w:r>
      <w:r>
        <w:rPr>
          <w:rFonts w:hint="default" w:ascii="仿宋_GB2312" w:hAnsi="仿宋_GB2312" w:eastAsia="仿宋_GB2312" w:cs="仿宋_GB2312"/>
          <w:sz w:val="32"/>
          <w:szCs w:val="32"/>
          <w:lang w:val="en-US" w:eastAsia="zh-CN"/>
        </w:rPr>
        <w:t>万元，较上年收支预算总数</w:t>
      </w:r>
      <w:r>
        <w:rPr>
          <w:rFonts w:hint="eastAsia" w:ascii="仿宋_GB2312" w:hAnsi="仿宋_GB2312" w:eastAsia="仿宋_GB2312" w:cs="仿宋_GB2312"/>
          <w:sz w:val="32"/>
          <w:szCs w:val="32"/>
          <w:lang w:val="en-US" w:eastAsia="zh-CN"/>
        </w:rPr>
        <w:t>减2.54</w:t>
      </w:r>
      <w:r>
        <w:rPr>
          <w:rFonts w:hint="default" w:ascii="仿宋_GB2312" w:hAnsi="仿宋_GB2312" w:eastAsia="仿宋_GB2312" w:cs="仿宋_GB2312"/>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收入包括：本年一般公共预算拨款收入</w:t>
      </w:r>
      <w:r>
        <w:rPr>
          <w:rFonts w:hint="eastAsia" w:ascii="仿宋_GB2312" w:hAnsi="仿宋_GB2312" w:eastAsia="仿宋_GB2312" w:cs="仿宋_GB2312"/>
          <w:color w:val="auto"/>
          <w:kern w:val="2"/>
          <w:sz w:val="32"/>
          <w:szCs w:val="32"/>
          <w:lang w:val="en-US" w:eastAsia="zh-CN" w:bidi="ar-SA"/>
        </w:rPr>
        <w:t>143.98</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，上年结转结余一般公共预算0万元</w:t>
      </w:r>
      <w:r>
        <w:rPr>
          <w:rFonts w:hint="default" w:ascii="仿宋_GB2312" w:hAnsi="仿宋_GB2312" w:eastAsia="仿宋_GB2312" w:cs="仿宋_GB2312"/>
          <w:sz w:val="32"/>
          <w:szCs w:val="32"/>
          <w:lang w:val="en-US" w:eastAsia="zh-CN"/>
        </w:rPr>
        <w:t>；支出包括：</w:t>
      </w:r>
      <w:r>
        <w:rPr>
          <w:rFonts w:hint="eastAsia" w:ascii="仿宋_GB2312" w:hAnsi="仿宋_GB2312" w:eastAsia="仿宋_GB2312" w:cs="仿宋_GB2312"/>
          <w:sz w:val="32"/>
          <w:szCs w:val="32"/>
          <w:lang w:val="en-US" w:eastAsia="zh-CN"/>
        </w:rPr>
        <w:t>农林水支出</w:t>
      </w:r>
      <w:r>
        <w:rPr>
          <w:rFonts w:hint="eastAsia" w:ascii="仿宋_GB2312" w:hAnsi="仿宋_GB2312" w:eastAsia="仿宋_GB2312" w:cs="仿宋_GB2312"/>
          <w:color w:val="auto"/>
          <w:kern w:val="2"/>
          <w:sz w:val="32"/>
          <w:szCs w:val="32"/>
          <w:lang w:val="en-US" w:eastAsia="zh-CN" w:bidi="ar-SA"/>
        </w:rPr>
        <w:t>143.98</w:t>
      </w:r>
      <w:r>
        <w:rPr>
          <w:rFonts w:hint="eastAsia" w:ascii="仿宋_GB2312" w:hAnsi="仿宋_GB2312" w:eastAsia="仿宋_GB2312" w:cs="仿宋_GB2312"/>
          <w:sz w:val="32"/>
          <w:szCs w:val="32"/>
          <w:lang w:val="en-US" w:eastAsia="zh-CN"/>
        </w:rPr>
        <w:t>万元</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五、一般公共预算当年拨款情况说明</w:t>
      </w:r>
    </w:p>
    <w:p>
      <w:pPr>
        <w:pStyle w:val="7"/>
        <w:keepNext w:val="0"/>
        <w:keepLines w:val="0"/>
        <w:widowControl/>
        <w:suppressLineNumbers w:val="0"/>
        <w:spacing w:before="75" w:beforeAutospacing="0" w:after="75" w:afterAutospacing="0" w:line="600" w:lineRule="atLeast"/>
        <w:ind w:left="0" w:right="0" w:firstLine="630"/>
        <w:rPr>
          <w:rStyle w:val="10"/>
          <w:rFonts w:hint="default" w:ascii="楷体_GB2312" w:hAnsi="sans-serif" w:eastAsia="楷体_GB2312" w:cs="楷体_GB2312"/>
          <w:i w:val="0"/>
          <w:caps w:val="0"/>
          <w:color w:val="000000"/>
          <w:spacing w:val="0"/>
          <w:sz w:val="32"/>
          <w:szCs w:val="32"/>
        </w:rPr>
      </w:pPr>
      <w:r>
        <w:rPr>
          <w:rStyle w:val="10"/>
          <w:rFonts w:hint="default" w:ascii="楷体_GB2312" w:hAnsi="sans-serif" w:eastAsia="楷体_GB2312" w:cs="楷体_GB2312"/>
          <w:i w:val="0"/>
          <w:caps w:val="0"/>
          <w:color w:val="000000"/>
          <w:spacing w:val="0"/>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统筹中心2025</w:t>
      </w:r>
      <w:r>
        <w:rPr>
          <w:rFonts w:hint="default" w:ascii="仿宋_GB2312" w:hAnsi="仿宋_GB2312" w:eastAsia="仿宋_GB2312" w:cs="仿宋_GB2312"/>
          <w:sz w:val="32"/>
          <w:szCs w:val="32"/>
          <w:lang w:val="en-US" w:eastAsia="zh-CN"/>
        </w:rPr>
        <w:t>年收支总预算</w:t>
      </w:r>
      <w:r>
        <w:rPr>
          <w:rFonts w:hint="eastAsia" w:ascii="仿宋_GB2312" w:hAnsi="仿宋_GB2312" w:eastAsia="仿宋_GB2312" w:cs="仿宋_GB2312"/>
          <w:color w:val="auto"/>
          <w:kern w:val="2"/>
          <w:sz w:val="32"/>
          <w:szCs w:val="32"/>
          <w:lang w:val="en-US" w:eastAsia="zh-CN" w:bidi="ar-SA"/>
        </w:rPr>
        <w:t>143.98</w:t>
      </w:r>
      <w:r>
        <w:rPr>
          <w:rFonts w:hint="default" w:ascii="仿宋_GB2312" w:hAnsi="仿宋_GB2312" w:eastAsia="仿宋_GB2312" w:cs="仿宋_GB2312"/>
          <w:sz w:val="32"/>
          <w:szCs w:val="32"/>
          <w:lang w:val="en-US" w:eastAsia="zh-CN"/>
        </w:rPr>
        <w:t>万元，较上年收支预算总数</w:t>
      </w:r>
      <w:r>
        <w:rPr>
          <w:rFonts w:hint="eastAsia" w:ascii="仿宋_GB2312" w:hAnsi="仿宋_GB2312" w:eastAsia="仿宋_GB2312" w:cs="仿宋_GB2312"/>
          <w:sz w:val="32"/>
          <w:szCs w:val="32"/>
          <w:lang w:val="en-US" w:eastAsia="zh-CN"/>
        </w:rPr>
        <w:t>减少2.54</w:t>
      </w:r>
      <w:r>
        <w:rPr>
          <w:rFonts w:hint="default" w:ascii="仿宋_GB2312" w:hAnsi="仿宋_GB2312" w:eastAsia="仿宋_GB2312" w:cs="仿宋_GB2312"/>
          <w:sz w:val="32"/>
          <w:szCs w:val="32"/>
          <w:lang w:val="en-US" w:eastAsia="zh-CN"/>
        </w:rPr>
        <w:t>万元。</w:t>
      </w:r>
    </w:p>
    <w:p>
      <w:pPr>
        <w:pStyle w:val="7"/>
        <w:keepNext w:val="0"/>
        <w:keepLines w:val="0"/>
        <w:widowControl/>
        <w:suppressLineNumbers w:val="0"/>
        <w:spacing w:before="75" w:beforeAutospacing="0" w:after="75" w:afterAutospacing="0" w:line="600" w:lineRule="atLeast"/>
        <w:ind w:left="0" w:right="0" w:firstLine="630"/>
        <w:rPr>
          <w:rStyle w:val="10"/>
          <w:rFonts w:hint="default" w:ascii="楷体_GB2312" w:hAnsi="sans-serif" w:eastAsia="楷体_GB2312" w:cs="楷体_GB2312"/>
          <w:i w:val="0"/>
          <w:caps w:val="0"/>
          <w:color w:val="000000"/>
          <w:spacing w:val="0"/>
          <w:sz w:val="32"/>
          <w:szCs w:val="32"/>
        </w:rPr>
      </w:pPr>
      <w:r>
        <w:rPr>
          <w:rStyle w:val="10"/>
          <w:rFonts w:hint="default" w:ascii="楷体_GB2312" w:hAnsi="sans-serif" w:eastAsia="楷体_GB2312" w:cs="楷体_GB2312"/>
          <w:i w:val="0"/>
          <w:caps w:val="0"/>
          <w:color w:val="000000"/>
          <w:spacing w:val="0"/>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农林水支出</w:t>
      </w:r>
      <w:r>
        <w:rPr>
          <w:rFonts w:hint="eastAsia" w:ascii="仿宋_GB2312" w:hAnsi="仿宋_GB2312" w:eastAsia="仿宋_GB2312" w:cs="仿宋_GB2312"/>
          <w:color w:val="auto"/>
          <w:kern w:val="2"/>
          <w:sz w:val="32"/>
          <w:szCs w:val="32"/>
          <w:lang w:val="en-US" w:eastAsia="zh-CN" w:bidi="ar-SA"/>
        </w:rPr>
        <w:t>143.98</w:t>
      </w:r>
      <w:r>
        <w:rPr>
          <w:rFonts w:hint="eastAsia" w:ascii="仿宋_GB2312" w:hAnsi="仿宋_GB2312" w:eastAsia="仿宋_GB2312" w:cs="仿宋_GB2312"/>
          <w:sz w:val="32"/>
          <w:szCs w:val="32"/>
          <w:lang w:val="en-US" w:eastAsia="zh-CN"/>
        </w:rPr>
        <w:t>万元，占100%。</w:t>
      </w:r>
    </w:p>
    <w:p>
      <w:pPr>
        <w:pStyle w:val="7"/>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10"/>
          <w:rFonts w:hint="default" w:ascii="楷体_GB2312" w:hAnsi="sans-serif" w:eastAsia="楷体_GB2312" w:cs="楷体_GB2312"/>
          <w:i w:val="0"/>
          <w:caps w:val="0"/>
          <w:color w:val="000000"/>
          <w:spacing w:val="0"/>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农林水支出（类）农业农村（款）行政运行（项）2025年预算数为22.2万元，主要用于保障2025年全年日常办公的正常运行。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2.农林水支出（类）农业农村（款）一般行政管理事务（项）2025年预算数为127.64万元，主要用于经开区统筹城乡建设发展的支出。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4.农林水支出（类）水利（款）一般行政管理事务（项）2025年预算数为30万元，主要用于唐家渡移民后扶规划编制费。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5.农林水支出（类）巩固脱贫攻坚成果衔接乡村振兴（款）一般行政管理事务（项）2025年预算数为5万元，主要用于2025年乡村振兴工作相关经费支出。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6.农林水支出（类）其他农林水支出（款）其他农林水支出（项）2025年预算数为1.8万元，主要用于支付统筹中心代理记账费用。</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统筹中心2025</w:t>
      </w:r>
      <w:r>
        <w:rPr>
          <w:rFonts w:hint="default" w:ascii="仿宋_GB2312" w:hAnsi="仿宋_GB2312" w:eastAsia="仿宋_GB2312" w:cs="仿宋_GB2312"/>
          <w:sz w:val="32"/>
          <w:szCs w:val="32"/>
          <w:lang w:val="en-US" w:eastAsia="zh-CN"/>
        </w:rPr>
        <w:t>年一般公共预算基本支出</w:t>
      </w:r>
      <w:r>
        <w:rPr>
          <w:rFonts w:hint="eastAsia" w:ascii="仿宋_GB2312" w:hAnsi="仿宋_GB2312" w:eastAsia="仿宋_GB2312" w:cs="仿宋_GB2312"/>
          <w:sz w:val="32"/>
          <w:szCs w:val="32"/>
          <w:lang w:val="en-US" w:eastAsia="zh-CN"/>
        </w:rPr>
        <w:t>22.2</w:t>
      </w:r>
      <w:r>
        <w:rPr>
          <w:rFonts w:hint="default" w:ascii="仿宋_GB2312" w:hAnsi="仿宋_GB2312" w:eastAsia="仿宋_GB2312" w:cs="仿宋_GB2312"/>
          <w:sz w:val="32"/>
          <w:szCs w:val="32"/>
          <w:lang w:val="en-US" w:eastAsia="zh-CN"/>
        </w:rPr>
        <w:t>万元，其中：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公用经费</w:t>
      </w:r>
      <w:r>
        <w:rPr>
          <w:rFonts w:hint="eastAsia" w:ascii="仿宋_GB2312" w:hAnsi="仿宋_GB2312" w:eastAsia="仿宋_GB2312" w:cs="仿宋_GB2312"/>
          <w:sz w:val="32"/>
          <w:szCs w:val="32"/>
          <w:lang w:val="en-US" w:eastAsia="zh-CN"/>
        </w:rPr>
        <w:t>22.2</w:t>
      </w:r>
      <w:r>
        <w:rPr>
          <w:rFonts w:hint="default" w:ascii="仿宋_GB2312" w:hAnsi="仿宋_GB2312" w:eastAsia="仿宋_GB2312" w:cs="仿宋_GB2312"/>
          <w:sz w:val="32"/>
          <w:szCs w:val="32"/>
          <w:lang w:val="en-US" w:eastAsia="zh-CN"/>
        </w:rPr>
        <w:t>万元，主要包括：办公费</w:t>
      </w:r>
      <w:r>
        <w:rPr>
          <w:rFonts w:hint="eastAsia" w:ascii="仿宋_GB2312" w:hAnsi="仿宋_GB2312" w:eastAsia="仿宋_GB2312" w:cs="仿宋_GB2312"/>
          <w:sz w:val="32"/>
          <w:szCs w:val="32"/>
          <w:lang w:val="en-US" w:eastAsia="zh-CN"/>
        </w:rPr>
        <w:t>22.2万元。</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统筹中心2025</w:t>
      </w:r>
      <w:r>
        <w:rPr>
          <w:rFonts w:hint="default" w:ascii="仿宋_GB2312" w:hAnsi="仿宋_GB2312" w:eastAsia="仿宋_GB2312" w:cs="仿宋_GB2312"/>
          <w:sz w:val="32"/>
          <w:szCs w:val="32"/>
          <w:lang w:val="en-US" w:eastAsia="zh-CN"/>
        </w:rPr>
        <w:t>年“三公”经费财政拨款预算数</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万元，其中：因公出国（境）经费</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万元，公务接待费</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万元，公务用车购置及运行维护费</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因公出国（境）经费</w:t>
      </w:r>
      <w:r>
        <w:rPr>
          <w:rFonts w:hint="eastAsia" w:ascii="仿宋_GB2312" w:hAnsi="仿宋_GB2312" w:eastAsia="仿宋_GB2312" w:cs="仿宋_GB2312"/>
          <w:sz w:val="32"/>
          <w:szCs w:val="32"/>
          <w:lang w:val="en-US" w:eastAsia="zh-CN"/>
        </w:rPr>
        <w:t>与</w:t>
      </w:r>
      <w:r>
        <w:rPr>
          <w:rFonts w:hint="default" w:ascii="仿宋_GB2312" w:hAnsi="仿宋_GB2312" w:eastAsia="仿宋_GB2312" w:cs="仿宋_GB2312"/>
          <w:sz w:val="32"/>
          <w:szCs w:val="32"/>
          <w:lang w:val="en-US" w:eastAsia="zh-CN"/>
        </w:rPr>
        <w:t>上年预算持平</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（二）公务接待费与上年预算持平</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年公务接待费计划用于</w:t>
      </w:r>
      <w:r>
        <w:rPr>
          <w:rFonts w:hint="eastAsia" w:ascii="仿宋_GB2312" w:hAnsi="仿宋_GB2312" w:eastAsia="仿宋_GB2312" w:cs="仿宋_GB2312"/>
          <w:sz w:val="32"/>
          <w:szCs w:val="32"/>
          <w:lang w:val="en-US" w:eastAsia="zh-CN"/>
        </w:rPr>
        <w:t>公务接待</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（三）公务用车购置及运行维护费</w:t>
      </w:r>
      <w:r>
        <w:rPr>
          <w:rFonts w:hint="eastAsia" w:ascii="仿宋_GB2312" w:hAnsi="仿宋_GB2312" w:eastAsia="仿宋_GB2312" w:cs="仿宋_GB2312"/>
          <w:sz w:val="32"/>
          <w:szCs w:val="32"/>
          <w:lang w:val="en-US" w:eastAsia="zh-CN"/>
        </w:rPr>
        <w:t>与</w:t>
      </w:r>
      <w:r>
        <w:rPr>
          <w:rFonts w:hint="default" w:ascii="仿宋_GB2312" w:hAnsi="仿宋_GB2312" w:eastAsia="仿宋_GB2312" w:cs="仿宋_GB2312"/>
          <w:sz w:val="32"/>
          <w:szCs w:val="32"/>
          <w:lang w:val="en-US" w:eastAsia="zh-CN"/>
        </w:rPr>
        <w:t>上年预算持平</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部门现有公务用车</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辆，其中：轿车</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辆，越野车</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辆，大型客、货车</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年安排公务用车购置费</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年安排公务用车运行维护费</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lang w:val="en-US" w:eastAsia="zh-CN"/>
        </w:rPr>
        <w:t>八、“会议费”、“培训费”、“差旅费”财政拨款预</w:t>
      </w:r>
      <w:r>
        <w:rPr>
          <w:rFonts w:hint="default" w:ascii="黑体" w:hAnsi="黑体" w:eastAsia="黑体" w:cs="黑体"/>
          <w:sz w:val="32"/>
          <w:szCs w:val="32"/>
        </w:rPr>
        <w:t>算安排情况说明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统筹中心2025</w:t>
      </w:r>
      <w:r>
        <w:rPr>
          <w:rFonts w:hint="default" w:ascii="仿宋_GB2312" w:hAnsi="仿宋_GB2312" w:eastAsia="仿宋_GB2312" w:cs="仿宋_GB2312"/>
          <w:sz w:val="32"/>
          <w:szCs w:val="32"/>
          <w:lang w:val="en-US" w:eastAsia="zh-CN"/>
        </w:rPr>
        <w:t>年“会议费”“培训费”“差旅费”财政拨款预算数</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万元，其中：会议费</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万元，培训费</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万元，差旅费</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（一）会议费较上年预算</w:t>
      </w:r>
      <w:r>
        <w:rPr>
          <w:rFonts w:hint="eastAsia" w:ascii="仿宋_GB2312" w:hAnsi="仿宋_GB2312" w:eastAsia="仿宋_GB2312" w:cs="仿宋_GB2312"/>
          <w:sz w:val="32"/>
          <w:szCs w:val="32"/>
          <w:lang w:val="en-US" w:eastAsia="zh-CN"/>
        </w:rPr>
        <w:t>与</w:t>
      </w:r>
      <w:r>
        <w:rPr>
          <w:rFonts w:hint="default" w:ascii="仿宋_GB2312" w:hAnsi="仿宋_GB2312" w:eastAsia="仿宋_GB2312" w:cs="仿宋_GB2312"/>
          <w:sz w:val="32"/>
          <w:szCs w:val="32"/>
          <w:lang w:val="en-US" w:eastAsia="zh-CN"/>
        </w:rPr>
        <w:t>上年预算持平</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（二）培训费较上年预算下降</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lang w:val="en-US" w:eastAsia="zh-CN"/>
        </w:rPr>
        <w:t>由于疫情原因，2025年无线下统一培训的计划</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（三）差旅费较上年预算</w:t>
      </w:r>
      <w:r>
        <w:rPr>
          <w:rFonts w:hint="eastAsia" w:ascii="仿宋_GB2312" w:hAnsi="仿宋_GB2312" w:eastAsia="仿宋_GB2312" w:cs="仿宋_GB2312"/>
          <w:sz w:val="32"/>
          <w:szCs w:val="32"/>
          <w:lang w:val="en-US" w:eastAsia="zh-CN"/>
        </w:rPr>
        <w:t>与</w:t>
      </w:r>
      <w:r>
        <w:rPr>
          <w:rFonts w:hint="default" w:ascii="仿宋_GB2312" w:hAnsi="仿宋_GB2312" w:eastAsia="仿宋_GB2312" w:cs="仿宋_GB2312"/>
          <w:sz w:val="32"/>
          <w:szCs w:val="32"/>
          <w:lang w:val="en-US" w:eastAsia="zh-CN"/>
        </w:rPr>
        <w:t>上年预算持平</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九、政府性基金预算支出情况说明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统筹中心2025</w:t>
      </w:r>
      <w:r>
        <w:rPr>
          <w:rFonts w:hint="default" w:ascii="仿宋_GB2312" w:hAnsi="仿宋_GB2312" w:eastAsia="仿宋_GB2312" w:cs="仿宋_GB2312"/>
          <w:sz w:val="32"/>
          <w:szCs w:val="32"/>
          <w:lang w:val="en-US" w:eastAsia="zh-CN"/>
        </w:rPr>
        <w:t>年没有使用政府性基金预算拨款安排的支出。</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十、国有资本经营预算支出情况说明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统筹中心2025</w:t>
      </w:r>
      <w:r>
        <w:rPr>
          <w:rFonts w:hint="default" w:ascii="仿宋_GB2312" w:hAnsi="仿宋_GB2312" w:eastAsia="仿宋_GB2312" w:cs="仿宋_GB2312"/>
          <w:sz w:val="32"/>
          <w:szCs w:val="32"/>
          <w:lang w:val="en-US" w:eastAsia="zh-CN"/>
        </w:rPr>
        <w:t>年没有使用国有资本经营预算拨款安排的支出。</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十一、其他重要事项的情况说明</w:t>
      </w:r>
    </w:p>
    <w:p>
      <w:pPr>
        <w:pStyle w:val="7"/>
        <w:keepNext w:val="0"/>
        <w:keepLines w:val="0"/>
        <w:widowControl/>
        <w:suppressLineNumbers w:val="0"/>
        <w:spacing w:before="75" w:beforeAutospacing="0" w:after="75" w:afterAutospacing="0" w:line="600" w:lineRule="atLeast"/>
        <w:ind w:left="0" w:right="0" w:firstLine="630"/>
        <w:rPr>
          <w:rStyle w:val="10"/>
          <w:rFonts w:hint="default" w:ascii="楷体_GB2312" w:hAnsi="sans-serif" w:eastAsia="楷体_GB2312" w:cs="楷体_GB2312"/>
          <w:i w:val="0"/>
          <w:caps w:val="0"/>
          <w:color w:val="000000"/>
          <w:spacing w:val="0"/>
          <w:sz w:val="32"/>
          <w:szCs w:val="32"/>
        </w:rPr>
      </w:pPr>
      <w:r>
        <w:rPr>
          <w:rStyle w:val="10"/>
          <w:rFonts w:hint="default" w:ascii="楷体_GB2312" w:hAnsi="sans-serif" w:eastAsia="楷体_GB2312" w:cs="楷体_GB2312"/>
          <w:i w:val="0"/>
          <w:caps w:val="0"/>
          <w:color w:val="000000"/>
          <w:spacing w:val="0"/>
          <w:sz w:val="32"/>
          <w:szCs w:val="32"/>
        </w:rPr>
        <w:t>（一）机关运行经费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统筹中心</w:t>
      </w:r>
      <w:r>
        <w:rPr>
          <w:rFonts w:hint="default" w:ascii="仿宋_GB2312" w:hAnsi="仿宋_GB2312" w:eastAsia="仿宋_GB2312" w:cs="仿宋_GB2312"/>
          <w:sz w:val="32"/>
          <w:szCs w:val="32"/>
          <w:lang w:val="en-US" w:eastAsia="zh-CN"/>
        </w:rPr>
        <w:t>的机关运行经费财政拨款预算为</w:t>
      </w:r>
      <w:r>
        <w:rPr>
          <w:rFonts w:hint="eastAsia" w:ascii="仿宋_GB2312" w:hAnsi="仿宋_GB2312" w:eastAsia="仿宋_GB2312" w:cs="仿宋_GB2312"/>
          <w:sz w:val="32"/>
          <w:szCs w:val="32"/>
          <w:lang w:val="en-US" w:eastAsia="zh-CN"/>
        </w:rPr>
        <w:t>22.2</w:t>
      </w:r>
      <w:r>
        <w:rPr>
          <w:rFonts w:hint="default" w:ascii="仿宋_GB2312" w:hAnsi="仿宋_GB2312" w:eastAsia="仿宋_GB2312" w:cs="仿宋_GB2312"/>
          <w:sz w:val="32"/>
          <w:szCs w:val="32"/>
          <w:lang w:val="en-US" w:eastAsia="zh-CN"/>
        </w:rPr>
        <w:t>万元，较上年预算</w:t>
      </w:r>
      <w:r>
        <w:rPr>
          <w:rFonts w:hint="eastAsia" w:ascii="仿宋_GB2312" w:hAnsi="仿宋_GB2312" w:eastAsia="仿宋_GB2312" w:cs="仿宋_GB2312"/>
          <w:sz w:val="32"/>
          <w:szCs w:val="32"/>
          <w:lang w:val="en-US" w:eastAsia="zh-CN"/>
        </w:rPr>
        <w:t>增加1.2</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增加5.4</w:t>
      </w:r>
      <w:r>
        <w:rPr>
          <w:rFonts w:hint="default" w:ascii="仿宋_GB2312" w:hAnsi="仿宋_GB2312" w:eastAsia="仿宋_GB2312" w:cs="仿宋_GB2312"/>
          <w:sz w:val="32"/>
          <w:szCs w:val="32"/>
          <w:lang w:val="en-US" w:eastAsia="zh-CN"/>
        </w:rPr>
        <w:t>%，主要原因</w:t>
      </w:r>
      <w:r>
        <w:rPr>
          <w:rFonts w:hint="eastAsia" w:ascii="仿宋_GB2312" w:hAnsi="仿宋_GB2312" w:eastAsia="仿宋_GB2312" w:cs="仿宋_GB2312"/>
          <w:sz w:val="32"/>
          <w:szCs w:val="32"/>
          <w:lang w:val="en-US" w:eastAsia="zh-CN"/>
        </w:rPr>
        <w:t>较2025年人员增加</w:t>
      </w:r>
      <w:r>
        <w:rPr>
          <w:rFonts w:hint="default" w:ascii="仿宋_GB2312" w:hAnsi="仿宋_GB2312" w:eastAsia="仿宋_GB2312" w:cs="仿宋_GB2312"/>
          <w:sz w:val="32"/>
          <w:szCs w:val="32"/>
          <w:lang w:val="en-US" w:eastAsia="zh-CN"/>
        </w:rPr>
        <w:t>。</w:t>
      </w:r>
    </w:p>
    <w:p>
      <w:pPr>
        <w:pStyle w:val="7"/>
        <w:keepNext w:val="0"/>
        <w:keepLines w:val="0"/>
        <w:widowControl/>
        <w:suppressLineNumbers w:val="0"/>
        <w:spacing w:before="75" w:beforeAutospacing="0" w:after="75" w:afterAutospacing="0" w:line="600" w:lineRule="atLeast"/>
        <w:ind w:left="0" w:right="0" w:firstLine="630"/>
        <w:rPr>
          <w:rStyle w:val="10"/>
          <w:rFonts w:hint="default" w:ascii="楷体_GB2312" w:hAnsi="sans-serif" w:eastAsia="楷体_GB2312" w:cs="楷体_GB2312"/>
          <w:i w:val="0"/>
          <w:caps w:val="0"/>
          <w:color w:val="000000"/>
          <w:spacing w:val="0"/>
          <w:sz w:val="32"/>
          <w:szCs w:val="32"/>
        </w:rPr>
      </w:pPr>
      <w:r>
        <w:rPr>
          <w:rStyle w:val="10"/>
          <w:rFonts w:hint="default" w:ascii="楷体_GB2312" w:hAnsi="sans-serif" w:eastAsia="楷体_GB2312" w:cs="楷体_GB2312"/>
          <w:i w:val="0"/>
          <w:caps w:val="0"/>
          <w:color w:val="000000"/>
          <w:spacing w:val="0"/>
          <w:sz w:val="32"/>
          <w:szCs w:val="32"/>
        </w:rPr>
        <w:t>（二）政府采购情况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统筹中心2025</w:t>
      </w:r>
      <w:r>
        <w:rPr>
          <w:rFonts w:hint="default" w:ascii="仿宋_GB2312" w:hAnsi="仿宋_GB2312" w:eastAsia="仿宋_GB2312" w:cs="仿宋_GB2312"/>
          <w:sz w:val="32"/>
          <w:szCs w:val="32"/>
          <w:lang w:val="en-US" w:eastAsia="zh-CN"/>
        </w:rPr>
        <w:t>年无政府采购项目，未安排政府采购预算。</w:t>
      </w:r>
    </w:p>
    <w:p>
      <w:pPr>
        <w:pStyle w:val="7"/>
        <w:keepNext w:val="0"/>
        <w:keepLines w:val="0"/>
        <w:widowControl/>
        <w:suppressLineNumbers w:val="0"/>
        <w:spacing w:before="75" w:beforeAutospacing="0" w:after="75" w:afterAutospacing="0" w:line="600" w:lineRule="atLeast"/>
        <w:ind w:left="0" w:right="0" w:firstLine="630"/>
        <w:rPr>
          <w:rStyle w:val="10"/>
          <w:rFonts w:hint="default" w:ascii="楷体_GB2312" w:hAnsi="sans-serif" w:eastAsia="楷体_GB2312" w:cs="楷体_GB2312"/>
          <w:i w:val="0"/>
          <w:caps w:val="0"/>
          <w:color w:val="000000"/>
          <w:spacing w:val="0"/>
          <w:sz w:val="32"/>
          <w:szCs w:val="32"/>
        </w:rPr>
      </w:pPr>
      <w:r>
        <w:rPr>
          <w:rStyle w:val="10"/>
          <w:rFonts w:hint="default" w:ascii="楷体_GB2312" w:hAnsi="sans-serif" w:eastAsia="楷体_GB2312" w:cs="楷体_GB2312"/>
          <w:i w:val="0"/>
          <w:caps w:val="0"/>
          <w:color w:val="000000"/>
          <w:spacing w:val="0"/>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截至上年底，</w:t>
      </w:r>
      <w:r>
        <w:rPr>
          <w:rFonts w:hint="eastAsia" w:ascii="仿宋_GB2312" w:hAnsi="仿宋_GB2312" w:eastAsia="仿宋_GB2312" w:cs="仿宋_GB2312"/>
          <w:sz w:val="32"/>
          <w:szCs w:val="32"/>
          <w:lang w:val="en-US" w:eastAsia="zh-CN"/>
        </w:rPr>
        <w:t>统筹中心</w:t>
      </w:r>
      <w:r>
        <w:rPr>
          <w:rFonts w:hint="default" w:ascii="仿宋_GB2312" w:hAnsi="仿宋_GB2312" w:eastAsia="仿宋_GB2312" w:cs="仿宋_GB2312"/>
          <w:sz w:val="32"/>
          <w:szCs w:val="32"/>
          <w:lang w:val="en-US" w:eastAsia="zh-CN"/>
        </w:rPr>
        <w:t>所属各预算单位共有车辆</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辆，其中，地厅级领导干部用车</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辆、定向保障用车</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辆、执法执勤用车</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辆。单位价值200万元以上大型设备</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台（套）。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年本部门预算安排车辆购置经费</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万元。其中，财政拨款预算安排</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万元，非财政拨款安排</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万元。购置地厅级领导干部用车</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辆、定向保障用车</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辆、执法执勤用车</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辆。安排大型设备购置经费</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年本部门预算未安排购置车辆及单位价值200万元以上大型设备。</w:t>
      </w:r>
    </w:p>
    <w:p>
      <w:pPr>
        <w:pStyle w:val="7"/>
        <w:keepNext w:val="0"/>
        <w:keepLines w:val="0"/>
        <w:widowControl/>
        <w:suppressLineNumbers w:val="0"/>
        <w:spacing w:before="75" w:beforeAutospacing="0" w:after="75" w:afterAutospacing="0" w:line="600" w:lineRule="atLeast"/>
        <w:ind w:left="0" w:right="0" w:firstLine="630"/>
        <w:rPr>
          <w:rStyle w:val="10"/>
          <w:rFonts w:hint="default" w:ascii="楷体_GB2312" w:hAnsi="sans-serif" w:eastAsia="楷体_GB2312" w:cs="楷体_GB2312"/>
          <w:i w:val="0"/>
          <w:caps w:val="0"/>
          <w:color w:val="000000"/>
          <w:spacing w:val="0"/>
          <w:sz w:val="32"/>
          <w:szCs w:val="32"/>
        </w:rPr>
      </w:pPr>
      <w:r>
        <w:rPr>
          <w:rStyle w:val="10"/>
          <w:rFonts w:hint="default" w:ascii="楷体_GB2312" w:hAnsi="sans-serif" w:eastAsia="楷体_GB2312" w:cs="楷体_GB2312"/>
          <w:i w:val="0"/>
          <w:caps w:val="0"/>
          <w:color w:val="000000"/>
          <w:spacing w:val="0"/>
          <w:sz w:val="32"/>
          <w:szCs w:val="32"/>
        </w:rPr>
        <w:t>（四）绩效目标设置情况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绩效目标是预算编制的前提和基础，按照“费随事定”的原则，</w:t>
      </w: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十二、名词解释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 xml:space="preserve">.其他收入：指单位取得的除上述收入以外的各项收入。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 xml:space="preserve">.年初结转和结余：指以前年度尚未完成、结转到本年按有关规定继续使用的资金。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.结余分配：指事业单位按照事业单位会计制度的规定从非财政补助结余中分配的事业基金和职工福利基金等。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 xml:space="preserve">.项目支出：指在基本支出之外为完成特定行政任务和事业发展目标所发生的支出。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7"/>
        <w:keepNext w:val="0"/>
        <w:keepLines w:val="0"/>
        <w:widowControl/>
        <w:suppressLineNumbers w:val="0"/>
        <w:spacing w:before="75" w:beforeAutospacing="0" w:after="75" w:afterAutospacing="0" w:line="555" w:lineRule="atLeast"/>
        <w:ind w:left="0" w:right="0" w:firstLine="630"/>
        <w:rPr>
          <w:rFonts w:hint="default" w:ascii="仿宋_GB2312" w:hAnsi="sans-serif" w:eastAsia="仿宋_GB2312" w:cs="仿宋_GB2312"/>
          <w:i w:val="0"/>
          <w:caps w:val="0"/>
          <w:color w:val="000000"/>
          <w:spacing w:val="0"/>
          <w:sz w:val="32"/>
          <w:szCs w:val="32"/>
        </w:rPr>
      </w:pPr>
    </w:p>
    <w:sectPr>
      <w:footerReference r:id="rId3" w:type="default"/>
      <w:pgSz w:w="11906" w:h="16838"/>
      <w:pgMar w:top="1440" w:right="1800" w:bottom="1440" w:left="1800"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微软雅黑"/>
    <w:panose1 w:val="020B0500000000000000"/>
    <w:charset w:val="00"/>
    <w:family w:val="auto"/>
    <w:pitch w:val="default"/>
    <w:sig w:usb0="00000000" w:usb1="00000000" w:usb2="00000016" w:usb3="00000000" w:csb0="602E0107"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ans-serif">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2</w:t>
                          </w:r>
                          <w: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doNotShadeFormData w:val="true"/>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5c247ec7-447b-48c1-b5af-25b83df8faf7"/>
  </w:docVars>
  <w:rsids>
    <w:rsidRoot w:val="00172A27"/>
    <w:rsid w:val="00B3419E"/>
    <w:rsid w:val="015C2B0C"/>
    <w:rsid w:val="0BD32DC8"/>
    <w:rsid w:val="0D5B4EDF"/>
    <w:rsid w:val="156C5A70"/>
    <w:rsid w:val="189379A4"/>
    <w:rsid w:val="1FA871C3"/>
    <w:rsid w:val="20BB3BF2"/>
    <w:rsid w:val="212D3310"/>
    <w:rsid w:val="213A044C"/>
    <w:rsid w:val="2461697A"/>
    <w:rsid w:val="24FB6014"/>
    <w:rsid w:val="2A9F10DA"/>
    <w:rsid w:val="2C836F86"/>
    <w:rsid w:val="2CBC473A"/>
    <w:rsid w:val="30AE13E1"/>
    <w:rsid w:val="31E3384D"/>
    <w:rsid w:val="33642EAA"/>
    <w:rsid w:val="34D52C7A"/>
    <w:rsid w:val="35376194"/>
    <w:rsid w:val="39326610"/>
    <w:rsid w:val="40441D37"/>
    <w:rsid w:val="411E6EF4"/>
    <w:rsid w:val="41E77BF5"/>
    <w:rsid w:val="42D00A8E"/>
    <w:rsid w:val="43306D55"/>
    <w:rsid w:val="43D34124"/>
    <w:rsid w:val="454D13A0"/>
    <w:rsid w:val="4B456C61"/>
    <w:rsid w:val="4BA72A4A"/>
    <w:rsid w:val="4F361C3C"/>
    <w:rsid w:val="5CFD40E4"/>
    <w:rsid w:val="5D3C60AD"/>
    <w:rsid w:val="5DBF3327"/>
    <w:rsid w:val="60BF59B8"/>
    <w:rsid w:val="632E5397"/>
    <w:rsid w:val="642E2C23"/>
    <w:rsid w:val="67381940"/>
    <w:rsid w:val="6AFB7802"/>
    <w:rsid w:val="73241FF4"/>
    <w:rsid w:val="73875740"/>
    <w:rsid w:val="74686B57"/>
    <w:rsid w:val="77903967"/>
    <w:rsid w:val="BF3D77B0"/>
    <w:rsid w:val="BFDF84B3"/>
    <w:rsid w:val="CFFB0AC7"/>
    <w:rsid w:val="E57828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qFormat/>
    <w:uiPriority w:val="0"/>
    <w:rPr>
      <w:rFonts w:ascii="Times New Roman" w:hAnsi="Times New Roman" w:eastAsia="宋体" w:cs="Times New Roman"/>
    </w:rPr>
  </w:style>
  <w:style w:type="table" w:default="1" w:styleId="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rFonts w:ascii="Times New Roman" w:hAnsi="Times New Roman" w:eastAsia="宋体" w:cs="Times New Roman"/>
      <w:i/>
      <w:iCs/>
      <w:sz w:val="24"/>
      <w:szCs w:val="24"/>
    </w:rPr>
  </w:style>
  <w:style w:type="paragraph" w:styleId="3">
    <w:name w:val="Body Text"/>
    <w:basedOn w:val="1"/>
    <w:qFormat/>
    <w:uiPriority w:val="0"/>
    <w:pPr>
      <w:spacing w:before="0" w:after="140" w:line="276" w:lineRule="auto"/>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21"/>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6">
    <w:name w:val="List"/>
    <w:basedOn w:val="3"/>
    <w:qFormat/>
    <w:uiPriority w:val="0"/>
    <w:rPr>
      <w:rFonts w:ascii="Times New Roman" w:hAnsi="Times New Roman" w:eastAsia="宋体" w:cs="Times New Roman"/>
    </w:rPr>
  </w:style>
  <w:style w:type="paragraph" w:styleId="7">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10">
    <w:name w:val="Strong"/>
    <w:basedOn w:val="9"/>
    <w:qFormat/>
    <w:uiPriority w:val="0"/>
    <w:rPr>
      <w:rFonts w:ascii="Times New Roman" w:hAnsi="Times New Roman" w:eastAsia="宋体" w:cs="Times New Roman"/>
      <w:b/>
    </w:rPr>
  </w:style>
  <w:style w:type="character" w:customStyle="1" w:styleId="11">
    <w:name w:val="默认段落字体2"/>
    <w:qFormat/>
    <w:uiPriority w:val="0"/>
    <w:rPr>
      <w:rFonts w:ascii="Times New Roman" w:hAnsi="Times New Roman" w:eastAsia="宋体" w:cs="Times New Roman"/>
      <w:sz w:val="22"/>
    </w:rPr>
  </w:style>
  <w:style w:type="character" w:customStyle="1" w:styleId="12">
    <w:name w:val="??????1"/>
    <w:qFormat/>
    <w:uiPriority w:val="0"/>
    <w:rPr>
      <w:rFonts w:ascii="Times New Roman" w:hAnsi="Times New Roman" w:eastAsia="宋体" w:cs="Times New Roman"/>
    </w:rPr>
  </w:style>
  <w:style w:type="character" w:customStyle="1" w:styleId="13">
    <w:name w:val="??????2"/>
    <w:qFormat/>
    <w:uiPriority w:val="0"/>
    <w:rPr>
      <w:rFonts w:ascii="Times New Roman" w:hAnsi="Times New Roman" w:eastAsia="宋体" w:cs="Times New Roman"/>
      <w:sz w:val="22"/>
    </w:rPr>
  </w:style>
  <w:style w:type="character" w:customStyle="1" w:styleId="14">
    <w:name w:val="默认段落字体1"/>
    <w:qFormat/>
    <w:uiPriority w:val="0"/>
    <w:rPr>
      <w:rFonts w:ascii="Times New Roman" w:hAnsi="Times New Roman" w:eastAsia="宋体" w:cs="Times New Roman"/>
    </w:rPr>
  </w:style>
  <w:style w:type="paragraph" w:customStyle="1" w:styleId="15">
    <w:name w:val="Index"/>
    <w:basedOn w:val="1"/>
    <w:qFormat/>
    <w:uiPriority w:val="0"/>
    <w:pPr>
      <w:widowControl w:val="0"/>
      <w:suppressLineNumbers/>
      <w:suppressAutoHyphens/>
    </w:pPr>
    <w:rPr>
      <w:rFonts w:ascii="Times New Roman" w:hAnsi="Times New Roman" w:eastAsia="宋体" w:cs="Times New Roman"/>
    </w:rPr>
  </w:style>
  <w:style w:type="paragraph" w:customStyle="1" w:styleId="16">
    <w:name w:val="正文1"/>
    <w:qFormat/>
    <w:uiPriority w:val="0"/>
    <w:pPr>
      <w:widowControl w:val="0"/>
      <w:jc w:val="both"/>
    </w:pPr>
    <w:rPr>
      <w:rFonts w:ascii="Times New Roman" w:hAnsi="Times New Roman" w:eastAsia="宋体" w:cs="Times New Roman"/>
      <w:sz w:val="32"/>
    </w:rPr>
  </w:style>
  <w:style w:type="paragraph" w:customStyle="1" w:styleId="17">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常用样式（方正仿宋简）"/>
    <w:basedOn w:val="1"/>
    <w:next w:val="1"/>
    <w:qFormat/>
    <w:uiPriority w:val="0"/>
    <w:pPr>
      <w:spacing w:line="560" w:lineRule="exact"/>
      <w:ind w:firstLine="640" w:firstLineChars="200"/>
    </w:pPr>
    <w:rPr>
      <w:rFonts w:ascii="Times New Roman" w:hAnsi="Times New Roman" w:eastAsia="方正仿宋简体" w:cs="Times New Roman"/>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3507</Words>
  <Characters>3821</Characters>
  <Lines>0</Lines>
  <Paragraphs>0</Paragraphs>
  <TotalTime>38</TotalTime>
  <ScaleCrop>false</ScaleCrop>
  <LinksUpToDate>false</LinksUpToDate>
  <CharactersWithSpaces>3833</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2018-11-28T01:47:00Z</dcterms:created>
  <dc:creator>user</dc:creator>
  <cp:lastModifiedBy> </cp:lastModifiedBy>
  <cp:lastPrinted>2023-09-06T23:58:00Z</cp:lastPrinted>
  <dcterms:modified xsi:type="dcterms:W3CDTF">2025-11-04T16:50:59Z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149E12617EE34D3CA6B307B61F55E0D9_13</vt:lpwstr>
  </property>
  <property fmtid="{D5CDD505-2E9C-101B-9397-08002B2CF9AE}" pid="4" name="KSOTemplateDocerSaveRecord">
    <vt:lpwstr>eyJoZGlkIjoiZGZkZWRmZDFmOTFjYTNjZTgyYjIyY2I2YzBhYWU0NDMiLCJ1c2VySWQiOiIyNTYyMDA0MDgifQ==</vt:lpwstr>
  </property>
</Properties>
</file>