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rPr>
          <w:rStyle w:val="7"/>
          <w:rFonts w:hint="eastAsia" w:ascii="方正小标宋简体" w:hAnsi="方正小标宋简体" w:eastAsia="方正小标宋简体" w:cs="方正小标宋简体"/>
          <w:spacing w:val="-20"/>
          <w:sz w:val="52"/>
          <w:szCs w:val="52"/>
        </w:rPr>
      </w:pPr>
      <w:bookmarkStart w:id="0" w:name="_GoBack"/>
      <w:bookmarkEnd w:id="0"/>
    </w:p>
    <w:p>
      <w:pPr>
        <w:pStyle w:val="3"/>
        <w:keepNext w:val="0"/>
        <w:keepLines w:val="0"/>
        <w:widowControl/>
        <w:suppressLineNumbers w:val="0"/>
        <w:spacing w:before="75" w:beforeAutospacing="0" w:after="75" w:afterAutospacing="0"/>
        <w:ind w:left="0" w:right="0" w:firstLine="0"/>
        <w:jc w:val="center"/>
        <w:rPr>
          <w:rStyle w:val="7"/>
          <w:rFonts w:hint="eastAsia" w:ascii="方正小标宋简体" w:hAnsi="方正小标宋简体" w:eastAsia="方正小标宋简体" w:cs="方正小标宋简体"/>
          <w:spacing w:val="-20"/>
          <w:sz w:val="52"/>
          <w:szCs w:val="52"/>
        </w:rPr>
      </w:pPr>
    </w:p>
    <w:p>
      <w:pPr>
        <w:pStyle w:val="3"/>
        <w:keepNext w:val="0"/>
        <w:keepLines w:val="0"/>
        <w:widowControl/>
        <w:suppressLineNumbers w:val="0"/>
        <w:spacing w:before="75" w:beforeAutospacing="0" w:after="75" w:afterAutospacing="0"/>
        <w:ind w:left="0" w:right="0" w:firstLine="0"/>
        <w:jc w:val="center"/>
        <w:rPr>
          <w:rStyle w:val="7"/>
          <w:rFonts w:hint="eastAsia" w:ascii="方正小标宋简体" w:hAnsi="方正小标宋简体" w:eastAsia="方正小标宋简体" w:cs="方正小标宋简体"/>
          <w:spacing w:val="-20"/>
          <w:sz w:val="52"/>
          <w:szCs w:val="52"/>
        </w:rPr>
      </w:pPr>
    </w:p>
    <w:p>
      <w:pPr>
        <w:pStyle w:val="3"/>
        <w:keepNext w:val="0"/>
        <w:keepLines w:val="0"/>
        <w:widowControl/>
        <w:suppressLineNumbers w:val="0"/>
        <w:spacing w:before="75" w:beforeAutospacing="0" w:after="75" w:afterAutospacing="0"/>
        <w:ind w:left="0" w:right="0" w:firstLine="0"/>
        <w:jc w:val="center"/>
        <w:rPr>
          <w:rStyle w:val="7"/>
          <w:rFonts w:hint="eastAsia" w:ascii="方正小标宋简体" w:hAnsi="方正小标宋简体" w:eastAsia="方正小标宋简体" w:cs="方正小标宋简体"/>
          <w:spacing w:val="-20"/>
          <w:sz w:val="52"/>
          <w:szCs w:val="52"/>
          <w:lang w:val="en-US" w:eastAsia="zh-CN"/>
        </w:rPr>
      </w:pPr>
      <w:r>
        <w:rPr>
          <w:rStyle w:val="7"/>
          <w:rFonts w:hint="eastAsia" w:ascii="方正小标宋简体" w:hAnsi="方正小标宋简体" w:eastAsia="方正小标宋简体" w:cs="方正小标宋简体"/>
          <w:spacing w:val="-20"/>
          <w:sz w:val="52"/>
          <w:szCs w:val="52"/>
        </w:rPr>
        <w:t>遂宁经济技术开发区</w:t>
      </w:r>
      <w:r>
        <w:rPr>
          <w:rStyle w:val="7"/>
          <w:rFonts w:hint="eastAsia" w:ascii="方正小标宋简体" w:hAnsi="方正小标宋简体" w:eastAsia="方正小标宋简体" w:cs="方正小标宋简体"/>
          <w:spacing w:val="-20"/>
          <w:sz w:val="52"/>
          <w:szCs w:val="52"/>
          <w:lang w:val="en-US" w:eastAsia="zh-CN"/>
        </w:rPr>
        <w:t>统计事务中心</w:t>
      </w:r>
    </w:p>
    <w:p>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7"/>
          <w:rFonts w:hint="eastAsia" w:ascii="方正小标宋简体" w:hAnsi="方正小标宋简体" w:eastAsia="方正小标宋简体" w:cs="方正小标宋简体"/>
          <w:sz w:val="52"/>
          <w:szCs w:val="52"/>
          <w:lang w:val="en-US" w:eastAsia="zh-CN"/>
        </w:rPr>
        <w:t>2025</w:t>
      </w:r>
      <w:r>
        <w:rPr>
          <w:rFonts w:hint="default" w:ascii="方正小标宋简体" w:hAnsi="方正小标宋简体" w:eastAsia="方正小标宋简体" w:cs="方正小标宋简体"/>
          <w:i w:val="0"/>
          <w:caps w:val="0"/>
          <w:color w:val="000000"/>
          <w:spacing w:val="0"/>
          <w:sz w:val="52"/>
          <w:szCs w:val="52"/>
        </w:rPr>
        <w:t>年部门预算</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3"/>
        <w:keepNext w:val="0"/>
        <w:keepLines w:val="0"/>
        <w:widowControl/>
        <w:suppressLineNumbers w:val="0"/>
        <w:spacing w:before="75" w:beforeAutospacing="0" w:after="75" w:afterAutospacing="0" w:line="600" w:lineRule="atLeast"/>
        <w:ind w:left="1278" w:leftChars="304" w:right="0" w:hanging="640" w:hanging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pPr>
        <w:pStyle w:val="2"/>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遂宁经济技术开发区</w:t>
      </w:r>
      <w:r>
        <w:rPr>
          <w:rFonts w:hint="eastAsia" w:ascii="方正小标宋简体" w:eastAsia="方正小标宋简体"/>
          <w:sz w:val="44"/>
          <w:szCs w:val="44"/>
          <w:lang w:val="en-US" w:eastAsia="zh-CN"/>
        </w:rPr>
        <w:t>统计事务中心</w:t>
      </w:r>
    </w:p>
    <w:p>
      <w:pPr>
        <w:pStyle w:val="3"/>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方正小标宋简体" w:eastAsia="方正小标宋简体" w:cs="Times New Roman"/>
          <w:sz w:val="44"/>
          <w:szCs w:val="44"/>
          <w:lang w:val="en-US" w:eastAsia="zh-CN"/>
        </w:rPr>
        <w:t>2025</w:t>
      </w:r>
      <w:r>
        <w:rPr>
          <w:rFonts w:hint="default" w:ascii="方正小标宋简体" w:hAnsi="方正小标宋简体" w:eastAsia="方正小标宋简体" w:cs="方正小标宋简体"/>
          <w:i w:val="0"/>
          <w:caps w:val="0"/>
          <w:color w:val="000000"/>
          <w:spacing w:val="0"/>
          <w:sz w:val="43"/>
          <w:szCs w:val="43"/>
        </w:rPr>
        <w:t>年部门预算编制说明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8"/>
        <w:keepNext w:val="0"/>
        <w:keepLines w:val="0"/>
        <w:pageBreakBefore w:val="0"/>
        <w:kinsoku/>
        <w:wordWrap/>
        <w:overflowPunct/>
        <w:topLinePunct w:val="0"/>
        <w:autoSpaceDE/>
        <w:autoSpaceDN/>
        <w:bidi w:val="0"/>
        <w:adjustRightInd/>
        <w:snapToGrid/>
        <w:spacing w:line="480" w:lineRule="atLeast"/>
        <w:ind w:firstLine="634"/>
        <w:textAlignment w:val="auto"/>
        <w:rPr>
          <w:rStyle w:val="7"/>
          <w:rFonts w:ascii="仿宋_GB2312" w:hAnsi="仿宋_GB2312" w:eastAsia="仿宋_GB2312"/>
          <w:b/>
        </w:rPr>
      </w:pPr>
      <w:r>
        <w:rPr>
          <w:rStyle w:val="7"/>
          <w:rFonts w:ascii="仿宋_GB2312" w:hAnsi="仿宋_GB2312" w:eastAsia="仿宋_GB2312"/>
          <w:b/>
        </w:rPr>
        <w:t>（一） 职能简介</w:t>
      </w:r>
    </w:p>
    <w:p>
      <w:pPr>
        <w:pStyle w:val="8"/>
        <w:keepNext w:val="0"/>
        <w:keepLines w:val="0"/>
        <w:pageBreakBefore w:val="0"/>
        <w:kinsoku/>
        <w:wordWrap/>
        <w:overflowPunct/>
        <w:topLinePunct w:val="0"/>
        <w:autoSpaceDE/>
        <w:autoSpaceDN/>
        <w:bidi w:val="0"/>
        <w:adjustRightInd/>
        <w:snapToGrid/>
        <w:spacing w:line="480" w:lineRule="atLeast"/>
        <w:ind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负责全区的综合统计工作。组织实施全区工业、建筑业、批发和零售业、住宿和餐饮业等领域四上企业的专业统计及调查国民经济核算工作。</w:t>
      </w:r>
    </w:p>
    <w:p>
      <w:pPr>
        <w:pStyle w:val="8"/>
        <w:keepNext w:val="0"/>
        <w:keepLines w:val="0"/>
        <w:pageBreakBefore w:val="0"/>
        <w:kinsoku/>
        <w:wordWrap/>
        <w:overflowPunct/>
        <w:topLinePunct w:val="0"/>
        <w:autoSpaceDE/>
        <w:autoSpaceDN/>
        <w:bidi w:val="0"/>
        <w:adjustRightInd/>
        <w:snapToGrid/>
        <w:spacing w:line="480" w:lineRule="atLeast"/>
        <w:ind w:firstLine="634"/>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组织开展全区人口、经济等重大国情国力普查，会同有关部门组织实施其他重大国情国力普查，汇总、整理和提供有关国情国力普查资料，负责普查数据对外发布。</w:t>
      </w:r>
    </w:p>
    <w:p>
      <w:pPr>
        <w:pStyle w:val="8"/>
        <w:keepNext w:val="0"/>
        <w:keepLines w:val="0"/>
        <w:pageBreakBefore w:val="0"/>
        <w:kinsoku/>
        <w:wordWrap/>
        <w:overflowPunct/>
        <w:topLinePunct w:val="0"/>
        <w:autoSpaceDE/>
        <w:autoSpaceDN/>
        <w:bidi w:val="0"/>
        <w:adjustRightInd/>
        <w:snapToGrid/>
        <w:spacing w:line="480" w:lineRule="atLeast"/>
        <w:ind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各镇（街道）、相关部门开展统计调查工作，综合整理相关统计数据，负责对全区国民经济和社会发展情况进行统计分析、预测和监督，基层统计基础规范化建设工作，基本单位名录库建设和调查单位入库申报工作。</w:t>
      </w:r>
    </w:p>
    <w:p>
      <w:pPr>
        <w:pStyle w:val="8"/>
        <w:keepNext w:val="0"/>
        <w:keepLines w:val="0"/>
        <w:pageBreakBefore w:val="0"/>
        <w:kinsoku/>
        <w:wordWrap/>
        <w:overflowPunct/>
        <w:topLinePunct w:val="0"/>
        <w:autoSpaceDE/>
        <w:autoSpaceDN/>
        <w:bidi w:val="0"/>
        <w:adjustRightInd/>
        <w:snapToGrid/>
        <w:spacing w:line="480" w:lineRule="atLeast"/>
        <w:ind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.负责国家统计法律法规宣传普及，组织、监督、检查全区统计法律、法规和统计方法制度的实施。</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.完成党工委、管委会和上级有关部门交办的其他工作。</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w:t>
      </w:r>
      <w:r>
        <w:rPr>
          <w:rStyle w:val="6"/>
          <w:rFonts w:hint="eastAsia" w:ascii="楷体_GB2312" w:hAnsi="sans-serif" w:eastAsia="楷体_GB2312" w:cs="楷体_GB2312"/>
          <w:i w:val="0"/>
          <w:caps w:val="0"/>
          <w:color w:val="000000"/>
          <w:spacing w:val="0"/>
          <w:sz w:val="32"/>
          <w:szCs w:val="32"/>
          <w:lang w:val="en-US" w:eastAsia="zh-CN"/>
        </w:rPr>
        <w:t>2025</w:t>
      </w:r>
      <w:r>
        <w:rPr>
          <w:rStyle w:val="6"/>
          <w:rFonts w:hint="default" w:ascii="楷体_GB2312" w:hAnsi="sans-serif" w:eastAsia="楷体_GB2312" w:cs="楷体_GB2312"/>
          <w:i w:val="0"/>
          <w:caps w:val="0"/>
          <w:color w:val="000000"/>
          <w:spacing w:val="0"/>
          <w:sz w:val="32"/>
          <w:szCs w:val="32"/>
        </w:rPr>
        <w:t>年重点工作</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rPr>
        <w:t>一是</w:t>
      </w:r>
      <w:r>
        <w:rPr>
          <w:rFonts w:hint="eastAsia" w:ascii="仿宋_GB2312" w:hAnsi="sans-serif" w:eastAsia="仿宋_GB2312" w:cs="仿宋_GB2312"/>
          <w:i w:val="0"/>
          <w:caps w:val="0"/>
          <w:color w:val="000000"/>
          <w:spacing w:val="0"/>
          <w:sz w:val="32"/>
          <w:szCs w:val="32"/>
          <w:lang w:val="en-US" w:eastAsia="zh-CN"/>
        </w:rPr>
        <w:t>组织实施全区各行业统计。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二是完成第五次经济普查收尾工作。</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三是</w:t>
      </w:r>
      <w:r>
        <w:rPr>
          <w:rFonts w:hint="eastAsia" w:ascii="楷体_GB2312" w:hAnsi="楷体_GB2312" w:eastAsia="楷体_GB2312" w:cs="楷体_GB2312"/>
          <w:bCs/>
          <w:sz w:val="32"/>
          <w:szCs w:val="32"/>
          <w:lang w:val="en-US" w:eastAsia="zh-CN"/>
        </w:rPr>
        <w:t>组织各镇（街道）开展劳动力调查，居民收支调查等统计抽样调查。</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下属二级预算单</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按照综合预算的原则，</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所有收入和支出均纳入部门预算管理。收入包括：一般公共预算拨款收入；支出包括：一般公共服务支出。</w:t>
      </w: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（一）收入预算情况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万元，其中：一般公共预算拨款收入</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（二）支出预算情况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val="en-US" w:eastAsia="zh-CN"/>
        </w:rPr>
        <w:t>其中：基本支出17.4万元，占2.5%；</w:t>
      </w:r>
      <w:r>
        <w:rPr>
          <w:rFonts w:hint="default" w:ascii="仿宋_GB2312" w:hAnsi="sans-serif" w:eastAsia="仿宋_GB2312" w:cs="仿宋_GB2312"/>
          <w:i w:val="0"/>
          <w:caps w:val="0"/>
          <w:color w:val="000000"/>
          <w:spacing w:val="0"/>
          <w:sz w:val="32"/>
          <w:szCs w:val="32"/>
        </w:rPr>
        <w:t>项目支出</w:t>
      </w:r>
      <w:r>
        <w:rPr>
          <w:rFonts w:hint="eastAsia" w:ascii="仿宋_GB2312" w:hAnsi="sans-serif" w:eastAsia="仿宋_GB2312" w:cs="仿宋_GB2312"/>
          <w:i w:val="0"/>
          <w:caps w:val="0"/>
          <w:color w:val="000000"/>
          <w:spacing w:val="0"/>
          <w:sz w:val="32"/>
          <w:szCs w:val="32"/>
          <w:lang w:val="en-US" w:eastAsia="zh-CN"/>
        </w:rPr>
        <w:t>688.7613</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97.5%</w:t>
      </w:r>
      <w:r>
        <w:rPr>
          <w:rFonts w:hint="default" w:ascii="仿宋_GB2312" w:hAnsi="sans-serif" w:eastAsia="仿宋_GB2312" w:cs="仿宋_GB2312"/>
          <w:i w:val="0"/>
          <w:caps w:val="0"/>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万元；支出包括：一般公共服务支出</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（一）一般公共预算当年拨款规模变化情况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较上年</w:t>
      </w:r>
      <w:r>
        <w:rPr>
          <w:rFonts w:hint="eastAsia" w:ascii="仿宋_GB2312" w:hAnsi="sans-serif" w:eastAsia="仿宋_GB2312" w:cs="仿宋_GB2312"/>
          <w:i w:val="0"/>
          <w:caps w:val="0"/>
          <w:color w:val="000000"/>
          <w:spacing w:val="0"/>
          <w:sz w:val="32"/>
          <w:szCs w:val="32"/>
          <w:lang w:val="en-US" w:eastAsia="zh-CN"/>
        </w:rPr>
        <w:t>752.5万元，下降6.16%，属2025年五经普工作收尾，经费下降59万元，劳务派遣人员因人员调整，减少27万元，而统计报表企业的增加而增加统计工作经费37万元品迭而致。</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（二）一般公共预算当年拨款结构情况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一般公共服务支出</w:t>
      </w:r>
      <w:r>
        <w:rPr>
          <w:rFonts w:hint="eastAsia" w:ascii="仿宋_GB2312" w:hAnsi="sans-serif" w:eastAsia="仿宋_GB2312" w:cs="仿宋_GB2312"/>
          <w:i w:val="0"/>
          <w:caps w:val="0"/>
          <w:color w:val="000000"/>
          <w:spacing w:val="0"/>
          <w:sz w:val="32"/>
          <w:szCs w:val="32"/>
          <w:lang w:val="en-US" w:eastAsia="zh-CN"/>
        </w:rPr>
        <w:t>706.1613</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%；卫生健康支出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（三）一般公共预算当年拨款具体使用情况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FF0000"/>
          <w:spacing w:val="0"/>
          <w:sz w:val="32"/>
          <w:szCs w:val="32"/>
        </w:rPr>
      </w:pPr>
      <w:r>
        <w:rPr>
          <w:rFonts w:hint="default" w:ascii="仿宋_GB2312" w:hAnsi="sans-serif" w:eastAsia="仿宋_GB2312" w:cs="仿宋_GB2312"/>
          <w:i w:val="0"/>
          <w:caps w:val="0"/>
          <w:color w:val="000000"/>
          <w:spacing w:val="0"/>
          <w:sz w:val="32"/>
          <w:szCs w:val="32"/>
          <w:lang w:val="en-US" w:eastAsia="zh-CN"/>
        </w:rPr>
        <w:t>1. </w:t>
      </w:r>
      <w:r>
        <w:rPr>
          <w:rFonts w:hint="default" w:ascii="仿宋_GB2312" w:hAnsi="sans-serif" w:eastAsia="仿宋_GB2312" w:cs="仿宋_GB2312"/>
          <w:i w:val="0"/>
          <w:caps w:val="0"/>
          <w:color w:val="000000"/>
          <w:spacing w:val="0"/>
          <w:sz w:val="32"/>
          <w:szCs w:val="32"/>
        </w:rPr>
        <w:t>一般公共服务</w:t>
      </w:r>
      <w:r>
        <w:rPr>
          <w:rFonts w:hint="eastAsia" w:ascii="仿宋_GB2312" w:hAnsi="sans-serif" w:eastAsia="仿宋_GB2312" w:cs="仿宋_GB2312"/>
          <w:i w:val="0"/>
          <w:caps w:val="0"/>
          <w:color w:val="000000"/>
          <w:spacing w:val="0"/>
          <w:sz w:val="32"/>
          <w:szCs w:val="32"/>
          <w:lang w:val="en-US" w:eastAsia="zh-CN"/>
        </w:rPr>
        <w:t>支出</w:t>
      </w:r>
      <w:r>
        <w:rPr>
          <w:rFonts w:hint="default" w:ascii="仿宋_GB2312" w:hAnsi="sans-serif" w:eastAsia="仿宋_GB2312" w:cs="仿宋_GB2312"/>
          <w:i w:val="0"/>
          <w:caps w:val="0"/>
          <w:color w:val="000000"/>
          <w:spacing w:val="0"/>
          <w:sz w:val="32"/>
          <w:szCs w:val="32"/>
        </w:rPr>
        <w:t>（类）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一般行政管理事务</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594.92</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统计专项经费、</w:t>
      </w:r>
      <w:r>
        <w:rPr>
          <w:rFonts w:hint="eastAsia" w:ascii="仿宋_GB2312" w:hAnsi="sans-serif" w:eastAsia="仿宋_GB2312" w:cs="仿宋_GB2312"/>
          <w:i w:val="0"/>
          <w:caps w:val="0"/>
          <w:color w:val="000000"/>
          <w:spacing w:val="0"/>
          <w:sz w:val="32"/>
          <w:szCs w:val="32"/>
          <w:lang w:eastAsia="zh-CN"/>
        </w:rPr>
        <w:t>劳务派遣人员经费及工作人员体检、账务费</w:t>
      </w:r>
      <w:r>
        <w:rPr>
          <w:rFonts w:hint="eastAsia" w:ascii="仿宋_GB2312" w:hAnsi="sans-serif" w:eastAsia="仿宋_GB2312" w:cs="仿宋_GB2312"/>
          <w:i w:val="0"/>
          <w:caps w:val="0"/>
          <w:color w:val="000000"/>
          <w:spacing w:val="0"/>
          <w:sz w:val="32"/>
          <w:szCs w:val="32"/>
          <w:lang w:val="en-US" w:eastAsia="zh-CN"/>
        </w:rPr>
        <w:t>等</w:t>
      </w:r>
      <w:r>
        <w:rPr>
          <w:rFonts w:hint="eastAsia" w:ascii="仿宋_GB2312" w:hAnsi="sans-serif" w:eastAsia="仿宋_GB2312" w:cs="仿宋_GB2312"/>
          <w:i w:val="0"/>
          <w:caps w:val="0"/>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lang w:val="en-US" w:eastAsia="zh-CN"/>
        </w:rPr>
        <w:t>2. 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专项普查活动</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41</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第五次全国经济普查的总结收尾工作</w:t>
      </w:r>
      <w:r>
        <w:rPr>
          <w:rFonts w:hint="eastAsia" w:ascii="仿宋_GB2312" w:hAnsi="sans-serif" w:eastAsia="仿宋_GB2312" w:cs="仿宋_GB2312"/>
          <w:i w:val="0"/>
          <w:caps w:val="0"/>
          <w:color w:val="000000"/>
          <w:spacing w:val="0"/>
          <w:sz w:val="32"/>
          <w:szCs w:val="32"/>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lang w:val="en-US" w:eastAsia="zh-CN"/>
        </w:rPr>
        <w:t>.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eastAsia="zh-CN"/>
        </w:rPr>
        <w:t>统计抽样调查</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52.84</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eastAsia="zh-CN"/>
        </w:rPr>
        <w:t>劳动力抽样调查和城乡居民可支配收支调查等。</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17.4万元。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val="en-US" w:eastAsia="zh-CN"/>
        </w:rPr>
        <w:t>无</w:t>
      </w:r>
      <w:r>
        <w:rPr>
          <w:rFonts w:hint="default" w:ascii="仿宋_GB2312" w:hAnsi="sans-serif" w:eastAsia="仿宋_GB2312" w:cs="仿宋_GB2312"/>
          <w:i w:val="0"/>
          <w:caps w:val="0"/>
          <w:color w:val="000000"/>
          <w:spacing w:val="0"/>
          <w:sz w:val="32"/>
          <w:szCs w:val="32"/>
        </w:rPr>
        <w:t>“三公”经费财政拨款预算数</w:t>
      </w:r>
      <w:r>
        <w:rPr>
          <w:rFonts w:hint="eastAsia" w:ascii="仿宋_GB2312" w:hAnsi="sans-serif" w:eastAsia="仿宋_GB2312" w:cs="仿宋_GB2312"/>
          <w:i w:val="0"/>
          <w:caps w:val="0"/>
          <w:color w:val="000000"/>
          <w:spacing w:val="0"/>
          <w:sz w:val="32"/>
          <w:szCs w:val="32"/>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（一）因公出国（境）经费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sans-serif" w:eastAsia="楷体_GB2312" w:cs="楷体_GB2312"/>
          <w:i w:val="0"/>
          <w:caps w:val="0"/>
          <w:color w:val="000000"/>
          <w:spacing w:val="0"/>
          <w:sz w:val="32"/>
          <w:szCs w:val="32"/>
        </w:rPr>
        <w:t>上年预算持平。</w:t>
      </w:r>
      <w:r>
        <w:rPr>
          <w:rFonts w:hint="default" w:ascii="仿宋_GB2312" w:hAnsi="sans-serif" w:eastAsia="仿宋_GB2312" w:cs="仿宋_GB2312"/>
          <w:i w:val="0"/>
          <w:caps w:val="0"/>
          <w:color w:val="000000"/>
          <w:spacing w:val="0"/>
          <w:sz w:val="32"/>
          <w:szCs w:val="32"/>
        </w:rPr>
        <w:t>主要原因是</w:t>
      </w:r>
      <w:r>
        <w:rPr>
          <w:rStyle w:val="9"/>
          <w:rFonts w:hint="eastAsia" w:ascii="仿宋_GB2312" w:hAnsi="仿宋_GB2312" w:eastAsia="仿宋_GB2312" w:cs="Times New Roman"/>
          <w:sz w:val="32"/>
          <w:highlight w:val="none"/>
        </w:rPr>
        <w:t>未安排因公出国（境）</w:t>
      </w:r>
      <w:r>
        <w:rPr>
          <w:rFonts w:hint="default" w:ascii="仿宋_GB2312" w:hAnsi="sans-serif" w:eastAsia="仿宋_GB2312" w:cs="仿宋_GB2312"/>
          <w:i w:val="0"/>
          <w:caps w:val="0"/>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（二）公务接待费与上年预算持平。</w:t>
      </w:r>
      <w:r>
        <w:rPr>
          <w:rFonts w:hint="default" w:ascii="仿宋_GB2312" w:hAnsi="sans-serif" w:eastAsia="仿宋_GB2312" w:cs="仿宋_GB2312"/>
          <w:i w:val="0"/>
          <w:caps w:val="0"/>
          <w:color w:val="000000"/>
          <w:spacing w:val="0"/>
          <w:sz w:val="32"/>
          <w:szCs w:val="32"/>
        </w:rPr>
        <w:t>主要原因是</w:t>
      </w:r>
      <w:r>
        <w:rPr>
          <w:rStyle w:val="9"/>
          <w:rFonts w:hint="eastAsia" w:ascii="仿宋_GB2312" w:hAnsi="仿宋_GB2312" w:eastAsia="仿宋_GB2312"/>
          <w:sz w:val="32"/>
          <w:highlight w:val="none"/>
          <w:lang w:eastAsia="zh-CN"/>
        </w:rPr>
        <w:t>接待标准未变</w:t>
      </w:r>
      <w:r>
        <w:rPr>
          <w:rFonts w:hint="default" w:ascii="仿宋_GB2312" w:hAnsi="sans-serif" w:eastAsia="仿宋_GB2312" w:cs="仿宋_GB2312"/>
          <w:i w:val="0"/>
          <w:caps w:val="0"/>
          <w:color w:val="000000"/>
          <w:spacing w:val="0"/>
          <w:sz w:val="32"/>
          <w:szCs w:val="32"/>
        </w:rPr>
        <w:t>。</w:t>
      </w:r>
    </w:p>
    <w:p>
      <w:pPr>
        <w:keepNext w:val="0"/>
        <w:keepLines w:val="0"/>
        <w:pageBreakBefore w:val="0"/>
        <w:kinsoku/>
        <w:wordWrap/>
        <w:overflowPunct/>
        <w:topLinePunct w:val="0"/>
        <w:autoSpaceDE/>
        <w:autoSpaceDN/>
        <w:bidi w:val="0"/>
        <w:adjustRightInd/>
        <w:snapToGrid/>
        <w:spacing w:line="480" w:lineRule="atLeast"/>
        <w:ind w:firstLine="640" w:firstLineChars="200"/>
        <w:textAlignment w:val="auto"/>
        <w:rPr>
          <w:rStyle w:val="9"/>
          <w:rFonts w:hint="eastAsia" w:ascii="仿宋_GB2312" w:hAnsi="仿宋_GB2312" w:eastAsia="仿宋_GB2312" w:cs="Times New Roman"/>
          <w:sz w:val="32"/>
          <w:highlight w:val="none"/>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年公务接待费计划用于</w:t>
      </w:r>
      <w:r>
        <w:rPr>
          <w:rStyle w:val="9"/>
          <w:rFonts w:hint="eastAsia" w:ascii="仿宋_GB2312" w:hAnsi="仿宋_GB2312" w:eastAsia="仿宋_GB2312" w:cs="Times New Roman"/>
          <w:sz w:val="32"/>
          <w:highlight w:val="none"/>
        </w:rPr>
        <w:t>公务活动开支的交通费、住宿费、用餐费等。</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（三）公务用车购置及运行维护费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预算持平。</w:t>
      </w:r>
      <w:r>
        <w:rPr>
          <w:rStyle w:val="9"/>
          <w:rFonts w:ascii="仿宋_GB2312" w:hAnsi="仿宋_GB2312" w:eastAsia="仿宋_GB2312"/>
          <w:sz w:val="32"/>
          <w:highlight w:val="none"/>
        </w:rPr>
        <w:t>主要原因是</w:t>
      </w:r>
      <w:r>
        <w:rPr>
          <w:rStyle w:val="9"/>
          <w:rFonts w:hint="eastAsia" w:ascii="仿宋_GB2312" w:hAnsi="仿宋_GB2312" w:eastAsia="仿宋_GB2312"/>
          <w:sz w:val="32"/>
          <w:highlight w:val="none"/>
          <w:lang w:eastAsia="zh-CN"/>
        </w:rPr>
        <w:t>现无公务用车</w:t>
      </w:r>
      <w:r>
        <w:rPr>
          <w:rStyle w:val="9"/>
          <w:rFonts w:ascii="仿宋_GB2312" w:hAnsi="仿宋_GB2312" w:eastAsia="仿宋_GB2312"/>
          <w:sz w:val="32"/>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部门现有公务用车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辆，其中：轿车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辆，越野车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辆，大型客、货车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kern w:val="2"/>
          <w:sz w:val="32"/>
          <w:szCs w:val="32"/>
          <w:lang w:val="en-US" w:eastAsia="zh-CN" w:bidi="ar-SA"/>
        </w:rPr>
        <w:t>2025</w:t>
      </w:r>
      <w:r>
        <w:rPr>
          <w:rFonts w:hint="default" w:ascii="仿宋_GB2312" w:hAnsi="sans-serif" w:eastAsia="仿宋_GB2312" w:cs="仿宋_GB2312"/>
          <w:i w:val="0"/>
          <w:caps w:val="0"/>
          <w:color w:val="000000"/>
          <w:spacing w:val="0"/>
          <w:sz w:val="32"/>
          <w:szCs w:val="32"/>
        </w:rPr>
        <w:t>年安排公务用车购置费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年安排公务用车运行维护费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年“会议费”“培训费”“差旅费”财政拨款预算数</w:t>
      </w:r>
      <w:r>
        <w:rPr>
          <w:rFonts w:hint="eastAsia"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万元，其中：</w:t>
      </w:r>
      <w:r>
        <w:rPr>
          <w:rFonts w:hint="eastAsia" w:ascii="仿宋_GB2312" w:hAnsi="sans-serif" w:eastAsia="仿宋_GB2312" w:cs="仿宋_GB2312"/>
          <w:i w:val="0"/>
          <w:caps w:val="0"/>
          <w:color w:val="000000"/>
          <w:spacing w:val="0"/>
          <w:sz w:val="32"/>
          <w:szCs w:val="32"/>
          <w:lang w:val="en-US" w:eastAsia="zh-CN"/>
        </w:rPr>
        <w:t>会议费0</w:t>
      </w:r>
      <w:r>
        <w:rPr>
          <w:rFonts w:hint="default" w:ascii="仿宋_GB2312" w:hAnsi="sans-serif" w:eastAsia="仿宋_GB2312" w:cs="仿宋_GB2312"/>
          <w:i w:val="0"/>
          <w:caps w:val="0"/>
          <w:color w:val="000000"/>
          <w:spacing w:val="0"/>
          <w:sz w:val="32"/>
          <w:szCs w:val="32"/>
        </w:rPr>
        <w:t>万元，培训费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万元，差旅费</w:t>
      </w:r>
      <w:r>
        <w:rPr>
          <w:rFonts w:hint="eastAsia"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万元。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年没有使用政府性基金预算拨款安排的支出。</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年没有使用国有资本经营预算拨款安排的支出。</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（一）机关运行经费</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的机关运行经费财政拨款预算为</w:t>
      </w:r>
      <w:r>
        <w:rPr>
          <w:rFonts w:hint="eastAsia" w:ascii="仿宋_GB2312" w:hAnsi="sans-serif" w:eastAsia="仿宋_GB2312" w:cs="仿宋_GB2312"/>
          <w:i w:val="0"/>
          <w:caps w:val="0"/>
          <w:color w:val="000000"/>
          <w:spacing w:val="0"/>
          <w:sz w:val="32"/>
          <w:szCs w:val="32"/>
          <w:lang w:val="en-US" w:eastAsia="zh-CN"/>
        </w:rPr>
        <w:t>17.4</w:t>
      </w:r>
      <w:r>
        <w:rPr>
          <w:rFonts w:hint="default" w:ascii="仿宋_GB2312" w:hAnsi="sans-serif" w:eastAsia="仿宋_GB2312" w:cs="仿宋_GB2312"/>
          <w:i w:val="0"/>
          <w:caps w:val="0"/>
          <w:color w:val="000000"/>
          <w:spacing w:val="0"/>
          <w:sz w:val="32"/>
          <w:szCs w:val="32"/>
        </w:rPr>
        <w:t>万元</w:t>
      </w:r>
      <w:r>
        <w:rPr>
          <w:rFonts w:hint="default" w:ascii="仿宋_GB2312" w:hAnsi="sans-serif" w:eastAsia="仿宋_GB2312" w:cs="仿宋_GB2312"/>
          <w:i w:val="0"/>
          <w:caps w:val="0"/>
          <w:color w:val="000000"/>
          <w:spacing w:val="0"/>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（二）政府采购情况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统计事务中心2025</w:t>
      </w:r>
      <w:r>
        <w:rPr>
          <w:rFonts w:hint="default" w:ascii="仿宋_GB2312" w:hAnsi="sans-serif" w:eastAsia="仿宋_GB2312" w:cs="仿宋_GB2312"/>
          <w:i w:val="0"/>
          <w:caps w:val="0"/>
          <w:color w:val="000000"/>
          <w:spacing w:val="0"/>
          <w:sz w:val="32"/>
          <w:szCs w:val="32"/>
        </w:rPr>
        <w:t>年年无政府采购项目，未安排政府采购预算。</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（三）国有资产占有使用情况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截至上年底，</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年本部门预算未安排购置车辆及单位价值200万元以上大型设备。</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（四）绩效目标设置情况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kinsoku/>
        <w:wordWrap/>
        <w:overflowPunct/>
        <w:topLinePunct w:val="0"/>
        <w:autoSpaceDE/>
        <w:autoSpaceDN/>
        <w:bidi w:val="0"/>
        <w:adjustRightInd/>
        <w:snapToGrid/>
        <w:spacing w:line="480" w:lineRule="atLeast"/>
        <w:ind w:firstLine="640" w:firstLineChars="200"/>
        <w:textAlignment w:val="auto"/>
        <w:rPr>
          <w:rStyle w:val="9"/>
          <w:rFonts w:hint="default" w:ascii="仿宋_GB2312" w:hAnsi="仿宋_GB2312" w:eastAsia="仿宋_GB2312" w:cs="Times New Roman"/>
          <w:sz w:val="36"/>
          <w:szCs w:val="36"/>
          <w:lang w:val="en-US" w:eastAsia="zh-CN"/>
        </w:rPr>
      </w:pPr>
      <w:r>
        <w:rPr>
          <w:rStyle w:val="9"/>
          <w:rFonts w:hint="eastAsia" w:ascii="仿宋_GB2312" w:hAnsi="仿宋_GB2312" w:eastAsia="仿宋_GB2312" w:cs="Times New Roman"/>
          <w:sz w:val="32"/>
          <w:lang w:val="en-US" w:eastAsia="zh-CN"/>
        </w:rPr>
        <w:t>5.统计信息事务支出：指反映统计、信息事务方面的支出。</w:t>
      </w:r>
    </w:p>
    <w:p>
      <w:pP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sans-serif">
    <w:altName w:val="汉仪新人文宋简"/>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mM5YzU4Y2U4MjgzOGFmYTYyYmUwOTBjOGM2ZTIifQ=="/>
  </w:docVars>
  <w:rsids>
    <w:rsidRoot w:val="00000000"/>
    <w:rsid w:val="4CD435D7"/>
    <w:rsid w:val="DEDF1479"/>
    <w:rsid w:val="FDF933AB"/>
    <w:rsid w:val="FEDF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默认段落字体1"/>
    <w:qFormat/>
    <w:uiPriority w:val="0"/>
  </w:style>
  <w:style w:type="paragraph" w:customStyle="1" w:styleId="8">
    <w:name w:val="正文1"/>
    <w:qFormat/>
    <w:uiPriority w:val="0"/>
    <w:pPr>
      <w:widowControl w:val="0"/>
      <w:jc w:val="both"/>
    </w:pPr>
    <w:rPr>
      <w:rFonts w:ascii="Times New Roman" w:hAnsi="Times New Roman" w:eastAsia="Times New Roman" w:cs="Times New Roman"/>
      <w:sz w:val="32"/>
    </w:rPr>
  </w:style>
  <w:style w:type="character" w:customStyle="1" w:styleId="9">
    <w:name w:val="默认段落字体2"/>
    <w:qFormat/>
    <w:uiPriority w:val="0"/>
    <w:rPr>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2025-07-11T07:43:00Z</dcterms:created>
  <dc:creator>lenovo6</dc:creator>
  <cp:lastModifiedBy> </cp:lastModifiedBy>
  <dcterms:modified xsi:type="dcterms:W3CDTF">2025-08-27T10:05:42Z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C0CA07DE663345599E9F4E50F1D46D32_12</vt:lpwstr>
  </property>
</Properties>
</file>