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35ED4">
      <w:pPr>
        <w:pStyle w:val="5"/>
        <w:keepNext w:val="0"/>
        <w:keepLines w:val="0"/>
        <w:widowControl/>
        <w:suppressLineNumbers w:val="0"/>
        <w:spacing w:before="75" w:beforeAutospacing="0" w:after="75" w:afterAutospacing="0"/>
        <w:ind w:left="0" w:right="0" w:firstLine="0"/>
        <w:jc w:val="center"/>
        <w:rPr>
          <w:rStyle w:val="8"/>
          <w:rFonts w:hint="eastAsia" w:ascii="方正小标宋简体" w:hAnsi="方正小标宋简体" w:eastAsia="方正小标宋简体" w:cs="方正小标宋简体"/>
          <w:b w:val="0"/>
          <w:bCs/>
          <w:i w:val="0"/>
          <w:caps w:val="0"/>
          <w:color w:val="auto"/>
          <w:spacing w:val="0"/>
          <w:sz w:val="56"/>
          <w:szCs w:val="56"/>
          <w:lang w:eastAsia="zh-CN"/>
        </w:rPr>
      </w:pPr>
    </w:p>
    <w:p w14:paraId="0E8B8B81">
      <w:pPr>
        <w:pStyle w:val="5"/>
        <w:keepNext w:val="0"/>
        <w:keepLines w:val="0"/>
        <w:widowControl/>
        <w:suppressLineNumbers w:val="0"/>
        <w:spacing w:before="75" w:beforeAutospacing="0" w:after="75" w:afterAutospacing="0"/>
        <w:ind w:left="0" w:right="0" w:firstLine="0"/>
        <w:jc w:val="center"/>
        <w:rPr>
          <w:rStyle w:val="8"/>
          <w:rFonts w:hint="eastAsia" w:ascii="方正小标宋简体" w:hAnsi="方正小标宋简体" w:eastAsia="方正小标宋简体" w:cs="方正小标宋简体"/>
          <w:b w:val="0"/>
          <w:bCs/>
          <w:i w:val="0"/>
          <w:caps w:val="0"/>
          <w:color w:val="auto"/>
          <w:spacing w:val="0"/>
          <w:sz w:val="56"/>
          <w:szCs w:val="56"/>
          <w:lang w:eastAsia="zh-CN"/>
        </w:rPr>
      </w:pPr>
    </w:p>
    <w:p w14:paraId="38168D7F">
      <w:pPr>
        <w:pStyle w:val="5"/>
        <w:keepNext w:val="0"/>
        <w:keepLines w:val="0"/>
        <w:widowControl/>
        <w:suppressLineNumbers w:val="0"/>
        <w:spacing w:before="75" w:beforeAutospacing="0" w:after="75" w:afterAutospacing="0"/>
        <w:ind w:left="0" w:right="0" w:firstLine="0"/>
        <w:jc w:val="center"/>
        <w:rPr>
          <w:rStyle w:val="8"/>
          <w:rFonts w:hint="eastAsia" w:ascii="方正小标宋简体" w:hAnsi="方正小标宋简体" w:eastAsia="方正小标宋简体" w:cs="方正小标宋简体"/>
          <w:b w:val="0"/>
          <w:bCs/>
          <w:i w:val="0"/>
          <w:caps w:val="0"/>
          <w:color w:val="auto"/>
          <w:spacing w:val="0"/>
          <w:sz w:val="56"/>
          <w:szCs w:val="56"/>
          <w:lang w:eastAsia="zh-CN"/>
        </w:rPr>
      </w:pPr>
    </w:p>
    <w:p w14:paraId="11FE9F98">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b w:val="0"/>
          <w:bCs/>
          <w:i w:val="0"/>
          <w:caps w:val="0"/>
          <w:color w:val="auto"/>
          <w:spacing w:val="0"/>
          <w:sz w:val="52"/>
          <w:szCs w:val="52"/>
        </w:rPr>
      </w:pPr>
      <w:r>
        <w:rPr>
          <w:rStyle w:val="8"/>
          <w:rFonts w:hint="eastAsia" w:ascii="方正小标宋简体" w:hAnsi="方正小标宋简体" w:eastAsia="方正小标宋简体" w:cs="方正小标宋简体"/>
          <w:b w:val="0"/>
          <w:bCs/>
          <w:i w:val="0"/>
          <w:caps w:val="0"/>
          <w:color w:val="auto"/>
          <w:spacing w:val="-11"/>
          <w:sz w:val="52"/>
          <w:szCs w:val="52"/>
          <w:lang w:eastAsia="zh-CN"/>
        </w:rPr>
        <w:t>遂宁</w:t>
      </w:r>
      <w:r>
        <w:rPr>
          <w:rStyle w:val="8"/>
          <w:rFonts w:hint="eastAsia" w:ascii="方正小标宋简体" w:hAnsi="方正小标宋简体" w:eastAsia="方正小标宋简体" w:cs="方正小标宋简体"/>
          <w:b w:val="0"/>
          <w:bCs/>
          <w:i w:val="0"/>
          <w:caps w:val="0"/>
          <w:color w:val="auto"/>
          <w:spacing w:val="-11"/>
          <w:sz w:val="52"/>
          <w:szCs w:val="52"/>
          <w:lang w:val="en-US" w:eastAsia="zh-CN"/>
        </w:rPr>
        <w:t>市应急管理局经济技术开发区分局</w:t>
      </w:r>
      <w:r>
        <w:rPr>
          <w:rStyle w:val="8"/>
          <w:rFonts w:hint="eastAsia" w:ascii="方正小标宋简体" w:hAnsi="方正小标宋简体" w:eastAsia="方正小标宋简体" w:cs="方正小标宋简体"/>
          <w:b w:val="0"/>
          <w:bCs/>
          <w:i w:val="0"/>
          <w:caps w:val="0"/>
          <w:color w:val="auto"/>
          <w:spacing w:val="0"/>
          <w:sz w:val="52"/>
          <w:szCs w:val="52"/>
          <w:lang w:val="en-US" w:eastAsia="zh-CN"/>
        </w:rPr>
        <w:t>2025</w:t>
      </w:r>
      <w:r>
        <w:rPr>
          <w:rFonts w:hint="default" w:ascii="方正小标宋简体" w:hAnsi="方正小标宋简体" w:eastAsia="方正小标宋简体" w:cs="方正小标宋简体"/>
          <w:b w:val="0"/>
          <w:bCs/>
          <w:i w:val="0"/>
          <w:caps w:val="0"/>
          <w:color w:val="auto"/>
          <w:spacing w:val="0"/>
          <w:sz w:val="52"/>
          <w:szCs w:val="52"/>
        </w:rPr>
        <w:t>年部门预算</w:t>
      </w:r>
    </w:p>
    <w:p w14:paraId="79738508">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9467720">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858A54E">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8DD2899">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7103E02">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6B383A5B">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0FA06421">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47EAEFEB">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F31B42E">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CBB6103">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10A2548F">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46F34F9F">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860DBFF">
      <w:pPr>
        <w:pStyle w:val="5"/>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caps w:val="0"/>
          <w:color w:val="000000"/>
          <w:spacing w:val="0"/>
          <w:sz w:val="44"/>
          <w:szCs w:val="44"/>
        </w:rPr>
        <w:sectPr>
          <w:pgSz w:w="11906" w:h="16838"/>
          <w:pgMar w:top="1440" w:right="1519" w:bottom="1440" w:left="1689" w:header="720" w:footer="720" w:gutter="0"/>
          <w:pgNumType w:fmt="numberInDash"/>
          <w:cols w:space="720" w:num="1"/>
          <w:docGrid w:type="lines" w:linePitch="312" w:charSpace="0"/>
        </w:sectPr>
      </w:pPr>
    </w:p>
    <w:p w14:paraId="7B5103A3">
      <w:pPr>
        <w:pStyle w:val="5"/>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caps w:val="0"/>
          <w:color w:val="000000"/>
          <w:spacing w:val="0"/>
          <w:sz w:val="44"/>
          <w:szCs w:val="44"/>
        </w:rPr>
      </w:pPr>
      <w:r>
        <w:rPr>
          <w:rFonts w:ascii="黑体" w:hAnsi="宋体" w:eastAsia="黑体" w:cs="黑体"/>
          <w:i w:val="0"/>
          <w:caps w:val="0"/>
          <w:color w:val="000000"/>
          <w:spacing w:val="0"/>
          <w:sz w:val="44"/>
          <w:szCs w:val="44"/>
        </w:rPr>
        <w:t>目录</w:t>
      </w:r>
    </w:p>
    <w:p w14:paraId="0546D369">
      <w:pPr>
        <w:pStyle w:val="5"/>
        <w:keepNext w:val="0"/>
        <w:keepLines w:val="0"/>
        <w:widowControl/>
        <w:suppressLineNumbers w:val="0"/>
        <w:spacing w:before="75" w:beforeAutospacing="0" w:after="75" w:afterAutospacing="0" w:line="600" w:lineRule="atLeast"/>
        <w:ind w:left="0" w:right="0" w:firstLine="0"/>
        <w:jc w:val="center"/>
        <w:rPr>
          <w:rFonts w:hint="default" w:ascii="黑体" w:hAnsi="宋体" w:eastAsia="黑体" w:cs="黑体"/>
          <w:i w:val="0"/>
          <w:caps w:val="0"/>
          <w:color w:val="000000"/>
          <w:spacing w:val="0"/>
          <w:sz w:val="44"/>
          <w:szCs w:val="44"/>
        </w:rPr>
      </w:pPr>
    </w:p>
    <w:p w14:paraId="00E88C1C">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14:paraId="6B85B423">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14:paraId="6F3B27A5">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14:paraId="15D57BD4">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14:paraId="0BA185AC">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14:paraId="11C4C0BA">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14:paraId="7E87E3F5">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14:paraId="5CC05593">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14:paraId="6F498C1D">
      <w:pPr>
        <w:pStyle w:val="5"/>
        <w:keepNext w:val="0"/>
        <w:keepLines w:val="0"/>
        <w:widowControl/>
        <w:suppressLineNumbers w:val="0"/>
        <w:spacing w:before="75" w:beforeAutospacing="0" w:after="75" w:afterAutospacing="0" w:line="600" w:lineRule="atLeast"/>
        <w:ind w:right="0" w:firstLine="640" w:firstLine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14:paraId="3AC9A88C">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14:paraId="79E2C6B5">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14:paraId="62075AB2">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14:paraId="04886F0A">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14:paraId="1EB81692">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14:paraId="66DD4815">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收支总表</w:t>
      </w:r>
    </w:p>
    <w:p w14:paraId="20B6AA3A">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收入总表</w:t>
      </w:r>
    </w:p>
    <w:p w14:paraId="6088AF44">
      <w:pPr>
        <w:pStyle w:val="5"/>
        <w:keepNext w:val="0"/>
        <w:keepLines w:val="0"/>
        <w:widowControl/>
        <w:suppressLineNumbers w:val="0"/>
        <w:tabs>
          <w:tab w:val="left" w:pos="6814"/>
        </w:tabs>
        <w:spacing w:before="75" w:beforeAutospacing="0" w:after="75" w:afterAutospacing="0" w:line="600" w:lineRule="atLeast"/>
        <w:ind w:left="0" w:right="0" w:firstLine="630"/>
        <w:rPr>
          <w:rFonts w:hint="eastAsia" w:ascii="sans-serif" w:hAnsi="sans-serif" w:eastAsia="仿宋_GB2312" w:cs="sans-serif"/>
          <w:i w:val="0"/>
          <w:caps w:val="0"/>
          <w:color w:val="000000"/>
          <w:spacing w:val="0"/>
          <w:sz w:val="24"/>
          <w:szCs w:val="24"/>
          <w:lang w:eastAsia="zh-CN"/>
        </w:rPr>
      </w:pPr>
      <w:r>
        <w:rPr>
          <w:rFonts w:hint="default" w:ascii="仿宋_GB2312" w:hAnsi="sans-serif" w:eastAsia="仿宋_GB2312" w:cs="仿宋_GB2312"/>
          <w:i w:val="0"/>
          <w:caps w:val="0"/>
          <w:color w:val="000000"/>
          <w:spacing w:val="0"/>
          <w:sz w:val="32"/>
          <w:szCs w:val="32"/>
        </w:rPr>
        <w:t>表1-2.</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支出总表</w:t>
      </w:r>
      <w:r>
        <w:rPr>
          <w:rFonts w:hint="eastAsia" w:ascii="仿宋_GB2312" w:hAnsi="sans-serif" w:eastAsia="仿宋_GB2312" w:cs="仿宋_GB2312"/>
          <w:i w:val="0"/>
          <w:caps w:val="0"/>
          <w:color w:val="000000"/>
          <w:spacing w:val="0"/>
          <w:sz w:val="32"/>
          <w:szCs w:val="32"/>
          <w:lang w:eastAsia="zh-CN"/>
        </w:rPr>
        <w:tab/>
      </w:r>
    </w:p>
    <w:p w14:paraId="5DC8AB40">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14:paraId="40FD95CE">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w:t>
      </w:r>
      <w:r>
        <w:rPr>
          <w:rFonts w:hint="eastAsia" w:ascii="仿宋_GB2312" w:hAnsi="sans-serif" w:eastAsia="仿宋_GB2312" w:cs="仿宋_GB2312"/>
          <w:i w:val="0"/>
          <w:caps w:val="0"/>
          <w:color w:val="000000"/>
          <w:spacing w:val="0"/>
          <w:sz w:val="32"/>
          <w:szCs w:val="32"/>
          <w:lang w:eastAsia="zh-CN"/>
        </w:rPr>
        <w:t>部门</w:t>
      </w:r>
      <w:r>
        <w:rPr>
          <w:rFonts w:hint="default" w:ascii="仿宋_GB2312" w:hAnsi="sans-serif" w:eastAsia="仿宋_GB2312" w:cs="仿宋_GB2312"/>
          <w:i w:val="0"/>
          <w:caps w:val="0"/>
          <w:color w:val="000000"/>
          <w:spacing w:val="0"/>
          <w:sz w:val="32"/>
          <w:szCs w:val="32"/>
        </w:rPr>
        <w:t>经济分类科目）</w:t>
      </w:r>
    </w:p>
    <w:p w14:paraId="14A62246">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14:paraId="3AFFBDE4">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14:paraId="4FACCCFA">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14:paraId="329DAFE1">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14:paraId="54690575">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14:paraId="5AB40DBF">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14:paraId="62049ADC">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14:paraId="697B756E">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w:t>
      </w:r>
      <w:r>
        <w:rPr>
          <w:rFonts w:hint="eastAsia" w:ascii="仿宋_GB2312" w:hAnsi="sans-serif" w:eastAsia="仿宋_GB2312" w:cs="仿宋_GB2312"/>
          <w:i w:val="0"/>
          <w:caps w:val="0"/>
          <w:color w:val="000000"/>
          <w:spacing w:val="0"/>
          <w:sz w:val="32"/>
          <w:szCs w:val="32"/>
          <w:lang w:val="en-US" w:eastAsia="zh-CN"/>
        </w:rPr>
        <w:t>6</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预算项目绩效目标表</w:t>
      </w:r>
    </w:p>
    <w:p w14:paraId="1081A1FE">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7D6D32E9">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7E2432EA">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4A4D3C1A">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5AF7EDE0">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58790072">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4A1C20E1">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6B59EE9C">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4FAC655E">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60" w:lineRule="exact"/>
        <w:ind w:left="0" w:right="0" w:firstLine="0"/>
        <w:jc w:val="center"/>
        <w:textAlignment w:val="auto"/>
        <w:rPr>
          <w:rStyle w:val="8"/>
          <w:rFonts w:hint="eastAsia" w:ascii="方正小标宋简体" w:hAnsi="方正小标宋简体" w:eastAsia="方正小标宋简体" w:cs="方正小标宋简体"/>
          <w:b w:val="0"/>
          <w:bCs/>
          <w:i w:val="0"/>
          <w:caps w:val="0"/>
          <w:color w:val="auto"/>
          <w:spacing w:val="0"/>
          <w:sz w:val="44"/>
          <w:szCs w:val="44"/>
          <w:lang w:val="en-US" w:eastAsia="zh-CN"/>
        </w:rPr>
      </w:pPr>
      <w:r>
        <w:rPr>
          <w:rStyle w:val="8"/>
          <w:rFonts w:hint="eastAsia" w:ascii="方正小标宋简体" w:hAnsi="方正小标宋简体" w:eastAsia="方正小标宋简体" w:cs="方正小标宋简体"/>
          <w:b w:val="0"/>
          <w:bCs/>
          <w:i w:val="0"/>
          <w:caps w:val="0"/>
          <w:color w:val="auto"/>
          <w:spacing w:val="0"/>
          <w:sz w:val="44"/>
          <w:szCs w:val="44"/>
          <w:lang w:eastAsia="zh-CN"/>
        </w:rPr>
        <w:t>遂宁</w:t>
      </w:r>
      <w:r>
        <w:rPr>
          <w:rStyle w:val="8"/>
          <w:rFonts w:hint="eastAsia" w:ascii="方正小标宋简体" w:hAnsi="方正小标宋简体" w:eastAsia="方正小标宋简体" w:cs="方正小标宋简体"/>
          <w:b w:val="0"/>
          <w:bCs/>
          <w:i w:val="0"/>
          <w:caps w:val="0"/>
          <w:color w:val="auto"/>
          <w:spacing w:val="0"/>
          <w:sz w:val="44"/>
          <w:szCs w:val="44"/>
          <w:lang w:val="en-US" w:eastAsia="zh-CN"/>
        </w:rPr>
        <w:t>市应急管理局经济技术开发区分局</w:t>
      </w:r>
    </w:p>
    <w:p w14:paraId="6EC064F3">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60" w:lineRule="exact"/>
        <w:ind w:left="0" w:right="0" w:firstLine="0"/>
        <w:jc w:val="center"/>
        <w:textAlignment w:val="auto"/>
        <w:rPr>
          <w:rFonts w:hint="default" w:ascii="方正小标宋简体" w:hAnsi="方正小标宋简体" w:eastAsia="方正小标宋简体" w:cs="方正小标宋简体"/>
          <w:b w:val="0"/>
          <w:bCs/>
          <w:i w:val="0"/>
          <w:caps w:val="0"/>
          <w:color w:val="auto"/>
          <w:spacing w:val="0"/>
          <w:sz w:val="44"/>
          <w:szCs w:val="44"/>
        </w:rPr>
      </w:pPr>
      <w:r>
        <w:rPr>
          <w:rStyle w:val="8"/>
          <w:rFonts w:hint="eastAsia" w:ascii="方正小标宋简体" w:hAnsi="方正小标宋简体" w:eastAsia="方正小标宋简体" w:cs="方正小标宋简体"/>
          <w:b w:val="0"/>
          <w:bCs/>
          <w:i w:val="0"/>
          <w:caps w:val="0"/>
          <w:color w:val="auto"/>
          <w:spacing w:val="0"/>
          <w:sz w:val="44"/>
          <w:szCs w:val="44"/>
          <w:lang w:val="en-US" w:eastAsia="zh-CN"/>
        </w:rPr>
        <w:t>2025</w:t>
      </w:r>
      <w:r>
        <w:rPr>
          <w:rFonts w:hint="default" w:ascii="方正小标宋简体" w:hAnsi="方正小标宋简体" w:eastAsia="方正小标宋简体" w:cs="方正小标宋简体"/>
          <w:b w:val="0"/>
          <w:bCs/>
          <w:i w:val="0"/>
          <w:caps w:val="0"/>
          <w:color w:val="auto"/>
          <w:spacing w:val="0"/>
          <w:sz w:val="44"/>
          <w:szCs w:val="44"/>
        </w:rPr>
        <w:t>年部门预算编制说明</w:t>
      </w:r>
    </w:p>
    <w:p w14:paraId="64A457F4">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700" w:lineRule="exact"/>
        <w:ind w:left="0" w:right="0" w:firstLine="0"/>
        <w:jc w:val="center"/>
        <w:textAlignment w:val="auto"/>
        <w:rPr>
          <w:rFonts w:hint="default" w:ascii="方正小标宋简体" w:hAnsi="方正小标宋简体" w:eastAsia="方正小标宋简体" w:cs="方正小标宋简体"/>
          <w:b w:val="0"/>
          <w:bCs/>
          <w:i w:val="0"/>
          <w:caps w:val="0"/>
          <w:color w:val="auto"/>
          <w:spacing w:val="0"/>
          <w:sz w:val="44"/>
          <w:szCs w:val="44"/>
        </w:rPr>
      </w:pPr>
    </w:p>
    <w:p w14:paraId="672D1106">
      <w:pPr>
        <w:pStyle w:val="3"/>
        <w:numPr>
          <w:ilvl w:val="0"/>
          <w:numId w:val="1"/>
        </w:numPr>
        <w:rPr>
          <w:rStyle w:val="9"/>
          <w:rFonts w:hint="eastAsia" w:ascii="黑体" w:hAnsi="黑体" w:eastAsia="黑体"/>
          <w:b w:val="0"/>
          <w:bCs w:val="0"/>
          <w:color w:val="auto"/>
          <w:highlight w:val="none"/>
          <w:lang w:eastAsia="zh-CN"/>
        </w:rPr>
      </w:pPr>
      <w:r>
        <w:rPr>
          <w:rStyle w:val="9"/>
          <w:rFonts w:hint="eastAsia" w:ascii="黑体" w:hAnsi="黑体" w:eastAsia="黑体"/>
          <w:b w:val="0"/>
          <w:bCs w:val="0"/>
          <w:color w:val="auto"/>
          <w:highlight w:val="none"/>
          <w:lang w:eastAsia="zh-CN"/>
        </w:rPr>
        <w:t>主要职责</w:t>
      </w:r>
    </w:p>
    <w:p w14:paraId="250A16B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1.负责应急管理工作，组织和指导各镇、街道应对安全生产类、自然灾害类等突发事件和综合防灾减灾救灾工作。负责安全生产综合监督管理和工矿商贸行业安全生产监督管理工作。</w:t>
      </w:r>
      <w:r>
        <w:rPr>
          <w:rFonts w:ascii="Calibri" w:hAnsi="Calibri" w:eastAsia="仿宋_GB2312" w:cs="Calibri"/>
          <w:kern w:val="0"/>
          <w:sz w:val="32"/>
          <w:szCs w:val="32"/>
        </w:rPr>
        <w:t> </w:t>
      </w:r>
    </w:p>
    <w:p w14:paraId="38F7409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kern w:val="0"/>
          <w:sz w:val="32"/>
          <w:szCs w:val="32"/>
        </w:rPr>
        <w:t>负责应急管理、安全生产等规范性文件拟定和组织实施工作。</w:t>
      </w:r>
    </w:p>
    <w:p w14:paraId="76A70E6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3.负责指导协调、监督检查、考核评估各部门以及乡镇（街道）应急管理、安全监督管理工作。</w:t>
      </w:r>
    </w:p>
    <w:p w14:paraId="734890E0">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r>
        <w:rPr>
          <w:rFonts w:ascii="Calibri" w:hAnsi="Calibri" w:eastAsia="仿宋_GB2312" w:cs="Calibri"/>
          <w:kern w:val="0"/>
          <w:sz w:val="32"/>
          <w:szCs w:val="32"/>
        </w:rPr>
        <w:t> </w:t>
      </w:r>
    </w:p>
    <w:p w14:paraId="724CEF58">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5.负责信息传输渠道的规划和布局，建立监测预警和灾情报告制度，健全自然灾害信息资源获取和共享机制，依法统一发布灾情。</w:t>
      </w:r>
      <w:r>
        <w:rPr>
          <w:rFonts w:ascii="Calibri" w:hAnsi="Calibri" w:eastAsia="仿宋_GB2312" w:cs="Calibri"/>
          <w:kern w:val="0"/>
          <w:sz w:val="32"/>
          <w:szCs w:val="32"/>
        </w:rPr>
        <w:t> </w:t>
      </w:r>
    </w:p>
    <w:p w14:paraId="00249439">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6.负责组织、指导、协调安全生产类、自然灾害类等突发事件应急救援，承担辖区应对较大及以上灾害指挥部工作，综合研判突发事件发展态势并提出应对建议，负责组织较大及以上灾害应急处置工作。</w:t>
      </w:r>
      <w:r>
        <w:rPr>
          <w:rFonts w:ascii="Calibri" w:hAnsi="Calibri" w:eastAsia="仿宋_GB2312" w:cs="Calibri"/>
          <w:kern w:val="0"/>
          <w:sz w:val="32"/>
          <w:szCs w:val="32"/>
        </w:rPr>
        <w:t> </w:t>
      </w:r>
    </w:p>
    <w:p w14:paraId="56894491">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7.统一协调指挥各类应急专业队伍，建立应急协调联动机制，推进指挥平台对接。</w:t>
      </w:r>
      <w:r>
        <w:rPr>
          <w:rFonts w:ascii="Calibri" w:hAnsi="Calibri" w:eastAsia="仿宋_GB2312" w:cs="Calibri"/>
          <w:kern w:val="0"/>
          <w:sz w:val="32"/>
          <w:szCs w:val="32"/>
        </w:rPr>
        <w:t> </w:t>
      </w:r>
    </w:p>
    <w:p w14:paraId="71F30FD4">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8.按照国家和省、市相关政策和规定负责森林火灾扑救、抗洪抢险、地震和地质灾害救援、生产安全事故救援等专业应急救援力量建设，依法依规统筹指导各镇（街道）及社会应急救援力量和应急保障能力建设。</w:t>
      </w:r>
      <w:r>
        <w:rPr>
          <w:rFonts w:ascii="Calibri" w:hAnsi="Calibri" w:eastAsia="仿宋_GB2312" w:cs="Calibri"/>
          <w:kern w:val="0"/>
          <w:sz w:val="32"/>
          <w:szCs w:val="32"/>
        </w:rPr>
        <w:t> </w:t>
      </w:r>
    </w:p>
    <w:p w14:paraId="46B68EA2">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333333"/>
          <w:sz w:val="32"/>
          <w:szCs w:val="32"/>
          <w:shd w:val="clear" w:color="auto" w:fill="FFFFFF"/>
        </w:rPr>
        <w:t>9.</w:t>
      </w:r>
      <w:r>
        <w:rPr>
          <w:rFonts w:hint="eastAsia" w:ascii="仿宋_GB2312" w:hAnsi="仿宋_GB2312" w:eastAsia="仿宋_GB2312" w:cs="仿宋_GB2312"/>
          <w:kern w:val="0"/>
          <w:sz w:val="32"/>
          <w:szCs w:val="32"/>
        </w:rPr>
        <w:t>负责统筹灾害救助、灾情核查、损失评估、救灾捐赠以及救灾物资管理、分配、使用监督工作；负责提出救灾物资的储备需求和动用决策，组织编制区级救灾物资储备规划和品种目录，会同区发展改革局等部门确定年度购置计划，根据需要下达动用指令。</w:t>
      </w:r>
    </w:p>
    <w:p w14:paraId="03D39B25">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10.负责自然灾害综合监测预警工作，承担自然灾害综合风险评估工作。负责地震防御工作。指导协调森林火灾、水旱灾害和地质灾害等防治工作。</w:t>
      </w:r>
      <w:r>
        <w:rPr>
          <w:rFonts w:ascii="Calibri" w:hAnsi="Calibri" w:eastAsia="仿宋_GB2312" w:cs="Calibri"/>
          <w:kern w:val="0"/>
          <w:sz w:val="32"/>
          <w:szCs w:val="32"/>
        </w:rPr>
        <w:t>  </w:t>
      </w:r>
    </w:p>
    <w:p w14:paraId="3A87C2A2">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r>
        <w:rPr>
          <w:rFonts w:ascii="Calibri" w:hAnsi="Calibri" w:eastAsia="仿宋_GB2312" w:cs="Calibri"/>
          <w:kern w:val="0"/>
          <w:sz w:val="32"/>
          <w:szCs w:val="32"/>
        </w:rPr>
        <w:t> </w:t>
      </w:r>
    </w:p>
    <w:p w14:paraId="3AAB3F20">
      <w:pPr>
        <w:widowControl/>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kern w:val="0"/>
          <w:sz w:val="32"/>
          <w:szCs w:val="32"/>
        </w:rPr>
        <w:t>12.承担危险化学品、非药品类易制毒化学品和烟花爆竹等生产经营单位安全生产准入管理责任。</w:t>
      </w:r>
      <w:r>
        <w:rPr>
          <w:rFonts w:ascii="Calibri" w:hAnsi="Calibri" w:eastAsia="仿宋_GB2312" w:cs="Calibri"/>
          <w:color w:val="333333"/>
          <w:sz w:val="32"/>
          <w:szCs w:val="32"/>
          <w:shd w:val="clear" w:color="auto" w:fill="FFFFFF"/>
        </w:rPr>
        <w:t> </w:t>
      </w:r>
    </w:p>
    <w:p w14:paraId="6D01C0B9">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13.依法组织、指导生产安全事故调查处理，监督事故查处和责任追究落实情况。组织开展自然灾害类突发事件的调查评估工作。</w:t>
      </w:r>
      <w:r>
        <w:rPr>
          <w:rFonts w:ascii="Calibri" w:hAnsi="Calibri" w:eastAsia="仿宋_GB2312" w:cs="Calibri"/>
          <w:kern w:val="0"/>
          <w:sz w:val="32"/>
          <w:szCs w:val="32"/>
        </w:rPr>
        <w:t> </w:t>
      </w:r>
    </w:p>
    <w:p w14:paraId="7CDBD11E">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14.负责应急管理、安全生产宣传教育和培训工作，组织和指导应急管理、安全生产的科学技术推广应用和信息化建设工作。</w:t>
      </w:r>
      <w:r>
        <w:rPr>
          <w:rFonts w:ascii="Calibri" w:hAnsi="Calibri" w:eastAsia="仿宋_GB2312" w:cs="Calibri"/>
          <w:kern w:val="0"/>
          <w:sz w:val="32"/>
          <w:szCs w:val="32"/>
        </w:rPr>
        <w:t> </w:t>
      </w:r>
    </w:p>
    <w:p w14:paraId="58678183">
      <w:pPr>
        <w:widowControl/>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kern w:val="0"/>
          <w:sz w:val="32"/>
          <w:szCs w:val="32"/>
        </w:rPr>
        <w:t>15.承担区应急委员会、安全生产委员会、防灾减灾委员会、抗震救灾、森林防灭火、防汛抗旱指挥部办公室日常工作</w:t>
      </w:r>
      <w:r>
        <w:rPr>
          <w:rFonts w:hint="eastAsia" w:ascii="仿宋_GB2312" w:hAnsi="仿宋_GB2312" w:eastAsia="仿宋_GB2312" w:cs="仿宋_GB2312"/>
          <w:sz w:val="32"/>
          <w:szCs w:val="32"/>
        </w:rPr>
        <w:t>。</w:t>
      </w:r>
      <w:r>
        <w:rPr>
          <w:rFonts w:ascii="Calibri" w:hAnsi="Calibri" w:eastAsia="仿宋_GB2312" w:cs="Calibri"/>
          <w:color w:val="333333"/>
          <w:sz w:val="32"/>
          <w:szCs w:val="32"/>
          <w:shd w:val="clear" w:color="auto" w:fill="FFFFFF"/>
        </w:rPr>
        <w:t> </w:t>
      </w:r>
    </w:p>
    <w:p w14:paraId="26EBF806">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16.完成党工委、管委会交办的其他任务。</w:t>
      </w:r>
      <w:r>
        <w:rPr>
          <w:rFonts w:ascii="Calibri" w:hAnsi="Calibri" w:eastAsia="仿宋_GB2312" w:cs="Calibri"/>
          <w:kern w:val="0"/>
          <w:sz w:val="32"/>
          <w:szCs w:val="32"/>
        </w:rPr>
        <w:t> </w:t>
      </w:r>
    </w:p>
    <w:p w14:paraId="126509E2">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14:paraId="216EFD8E">
      <w:pPr>
        <w:rPr>
          <w:rFonts w:hint="eastAsia"/>
          <w:lang w:eastAsia="zh-CN"/>
        </w:rPr>
      </w:pPr>
    </w:p>
    <w:p w14:paraId="4ADAB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77088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b w:val="0"/>
          <w:bCs w:val="0"/>
          <w:kern w:val="2"/>
          <w:sz w:val="32"/>
          <w:szCs w:val="32"/>
          <w:lang w:val="en-US" w:eastAsia="zh-CN"/>
        </w:rPr>
      </w:pPr>
      <w:r>
        <w:rPr>
          <w:rFonts w:hint="eastAsia" w:ascii="仿宋" w:hAnsi="仿宋" w:eastAsia="仿宋"/>
          <w:b w:val="0"/>
          <w:bCs w:val="0"/>
          <w:kern w:val="2"/>
          <w:sz w:val="32"/>
          <w:szCs w:val="32"/>
        </w:rPr>
        <w:t>遂宁市应急管理局经济技术开发区分局属于二级预算单位，</w:t>
      </w:r>
      <w:r>
        <w:rPr>
          <w:rFonts w:hint="eastAsia" w:ascii="仿宋" w:hAnsi="仿宋" w:eastAsia="仿宋"/>
          <w:b w:val="0"/>
          <w:bCs w:val="0"/>
          <w:kern w:val="2"/>
          <w:sz w:val="32"/>
          <w:szCs w:val="32"/>
          <w:lang w:val="en-US" w:eastAsia="zh-CN"/>
        </w:rPr>
        <w:t>下设1办4组1大队（办公室（法宣组）、安全生产综合协调组、火灾防治及应急保障组、危化及安全基础组、</w:t>
      </w:r>
      <w:r>
        <w:rPr>
          <w:rFonts w:hint="eastAsia" w:ascii="仿宋" w:hAnsi="仿宋" w:eastAsia="仿宋" w:cs="Times New Roman"/>
          <w:b w:val="0"/>
          <w:bCs w:val="0"/>
          <w:kern w:val="2"/>
          <w:sz w:val="32"/>
          <w:szCs w:val="32"/>
        </w:rPr>
        <w:t>救灾与物资保障</w:t>
      </w:r>
      <w:r>
        <w:rPr>
          <w:rFonts w:hint="eastAsia" w:ascii="仿宋" w:hAnsi="仿宋" w:eastAsia="仿宋" w:cs="Times New Roman"/>
          <w:b w:val="0"/>
          <w:bCs w:val="0"/>
          <w:kern w:val="2"/>
          <w:sz w:val="32"/>
          <w:szCs w:val="32"/>
          <w:lang w:val="en-US" w:eastAsia="zh-CN"/>
        </w:rPr>
        <w:t>组、</w:t>
      </w:r>
      <w:r>
        <w:rPr>
          <w:rFonts w:hint="eastAsia" w:ascii="仿宋" w:hAnsi="仿宋" w:eastAsia="仿宋" w:cs="Times New Roman"/>
          <w:b w:val="0"/>
          <w:bCs w:val="0"/>
          <w:kern w:val="2"/>
          <w:sz w:val="32"/>
          <w:szCs w:val="32"/>
          <w:lang w:eastAsia="zh-CN"/>
        </w:rPr>
        <w:t>综合</w:t>
      </w:r>
      <w:r>
        <w:rPr>
          <w:rFonts w:hint="eastAsia" w:ascii="仿宋" w:hAnsi="仿宋" w:eastAsia="仿宋" w:cs="Times New Roman"/>
          <w:b w:val="0"/>
          <w:bCs w:val="0"/>
          <w:kern w:val="2"/>
          <w:sz w:val="32"/>
          <w:szCs w:val="32"/>
          <w:lang w:val="en-US" w:eastAsia="zh-CN"/>
        </w:rPr>
        <w:t>行政</w:t>
      </w:r>
      <w:r>
        <w:rPr>
          <w:rFonts w:hint="eastAsia" w:ascii="仿宋" w:hAnsi="仿宋" w:eastAsia="仿宋" w:cs="Times New Roman"/>
          <w:b w:val="0"/>
          <w:bCs w:val="0"/>
          <w:kern w:val="2"/>
          <w:sz w:val="32"/>
          <w:szCs w:val="32"/>
        </w:rPr>
        <w:t>执法大队</w:t>
      </w:r>
      <w:r>
        <w:rPr>
          <w:rFonts w:hint="eastAsia" w:ascii="仿宋" w:hAnsi="仿宋" w:eastAsia="仿宋" w:cs="Times New Roman"/>
          <w:b w:val="0"/>
          <w:bCs w:val="0"/>
          <w:kern w:val="2"/>
          <w:sz w:val="32"/>
          <w:szCs w:val="32"/>
          <w:lang w:val="en-US" w:eastAsia="zh-CN"/>
        </w:rPr>
        <w:t>）</w:t>
      </w:r>
      <w:r>
        <w:rPr>
          <w:rFonts w:hint="eastAsia" w:ascii="仿宋" w:hAnsi="仿宋" w:eastAsia="仿宋" w:cs="Times New Roman"/>
          <w:b w:val="0"/>
          <w:bCs w:val="0"/>
          <w:kern w:val="2"/>
          <w:sz w:val="32"/>
          <w:szCs w:val="32"/>
        </w:rPr>
        <w:t>。</w:t>
      </w:r>
    </w:p>
    <w:p w14:paraId="432AF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380B0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按照综合预算的原则，</w:t>
      </w: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rPr>
        <w:t>所有收入和支出均纳入部门预算管理。收入包括：一般公共预算拨款收入；支出包括：一般公共服务支出。</w:t>
      </w: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rPr>
        <w:t>年收支总预算</w:t>
      </w:r>
      <w:r>
        <w:rPr>
          <w:rFonts w:hint="eastAsia" w:ascii="Times New Roman" w:hAnsi="Times New Roman" w:eastAsia="仿宋" w:cs="Times New Roman"/>
          <w:sz w:val="32"/>
          <w:szCs w:val="32"/>
          <w:lang w:val="en-US" w:eastAsia="zh-CN"/>
        </w:rPr>
        <w:t>123.87（105.10）</w:t>
      </w:r>
      <w:r>
        <w:rPr>
          <w:rFonts w:hint="default" w:ascii="Times New Roman" w:hAnsi="Times New Roman" w:eastAsia="仿宋" w:cs="Times New Roman"/>
          <w:sz w:val="32"/>
          <w:szCs w:val="32"/>
        </w:rPr>
        <w:t>万元，较</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年</w:t>
      </w:r>
      <w:r>
        <w:rPr>
          <w:rFonts w:hint="default" w:ascii="Times New Roman" w:hAnsi="Times New Roman" w:eastAsia="仿宋" w:cs="Times New Roman"/>
          <w:sz w:val="32"/>
          <w:szCs w:val="32"/>
        </w:rPr>
        <w:t>收支预算总数</w:t>
      </w:r>
      <w:r>
        <w:rPr>
          <w:rFonts w:hint="eastAsia" w:ascii="Times New Roman" w:hAnsi="Times New Roman" w:eastAsia="仿宋" w:cs="Times New Roman"/>
          <w:sz w:val="32"/>
          <w:szCs w:val="32"/>
          <w:lang w:val="en-US" w:eastAsia="zh-CN"/>
        </w:rPr>
        <w:t>增加18.77</w:t>
      </w:r>
      <w:r>
        <w:rPr>
          <w:rFonts w:hint="default" w:ascii="Times New Roman" w:hAnsi="Times New Roman" w:eastAsia="仿宋" w:cs="Times New Roman"/>
          <w:sz w:val="32"/>
          <w:szCs w:val="32"/>
        </w:rPr>
        <w:t>万元，主要是</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项目支出</w:t>
      </w:r>
      <w:r>
        <w:rPr>
          <w:rFonts w:hint="default" w:ascii="Times New Roman" w:hAnsi="Times New Roman" w:eastAsia="仿宋" w:cs="Times New Roman"/>
          <w:sz w:val="32"/>
          <w:szCs w:val="32"/>
          <w:lang w:val="en-US" w:eastAsia="zh-CN"/>
        </w:rPr>
        <w:t>有所</w:t>
      </w:r>
      <w:r>
        <w:rPr>
          <w:rFonts w:hint="eastAsia" w:ascii="Times New Roman" w:hAnsi="Times New Roman" w:eastAsia="仿宋" w:cs="Times New Roman"/>
          <w:sz w:val="32"/>
          <w:szCs w:val="32"/>
          <w:lang w:val="en-US" w:eastAsia="zh-CN"/>
        </w:rPr>
        <w:t>增加</w:t>
      </w:r>
      <w:r>
        <w:rPr>
          <w:rFonts w:hint="default" w:ascii="Times New Roman" w:hAnsi="Times New Roman" w:eastAsia="仿宋" w:cs="Times New Roman"/>
          <w:sz w:val="32"/>
          <w:szCs w:val="32"/>
          <w:lang w:val="en-US" w:eastAsia="zh-CN"/>
        </w:rPr>
        <w:t>。</w:t>
      </w:r>
    </w:p>
    <w:p w14:paraId="74428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4A050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年收入预算</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万元，其中：一般公共预算拨款收入</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w:t>
      </w:r>
    </w:p>
    <w:p w14:paraId="50F63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2C21A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年支出预算</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万元，其中：基本支出</w:t>
      </w:r>
      <w:r>
        <w:rPr>
          <w:rFonts w:hint="eastAsia" w:ascii="Times New Roman" w:hAnsi="Times New Roman" w:eastAsia="仿宋" w:cs="Times New Roman"/>
          <w:sz w:val="32"/>
          <w:szCs w:val="32"/>
          <w:lang w:val="en-US" w:eastAsia="zh-CN"/>
        </w:rPr>
        <w:t>32.10</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25.91</w:t>
      </w:r>
      <w:r>
        <w:rPr>
          <w:rFonts w:hint="default" w:ascii="Times New Roman" w:hAnsi="Times New Roman" w:eastAsia="仿宋" w:cs="Times New Roman"/>
          <w:sz w:val="32"/>
          <w:szCs w:val="32"/>
        </w:rPr>
        <w:t>%；项目支出</w:t>
      </w:r>
      <w:r>
        <w:rPr>
          <w:rFonts w:hint="eastAsia" w:ascii="Times New Roman" w:hAnsi="Times New Roman" w:eastAsia="仿宋" w:cs="Times New Roman"/>
          <w:sz w:val="32"/>
          <w:szCs w:val="32"/>
          <w:lang w:val="en-US" w:eastAsia="zh-CN"/>
        </w:rPr>
        <w:t>91.77</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74.09</w:t>
      </w:r>
      <w:r>
        <w:rPr>
          <w:rFonts w:hint="default" w:ascii="Times New Roman" w:hAnsi="Times New Roman" w:eastAsia="仿宋" w:cs="Times New Roman"/>
          <w:sz w:val="32"/>
          <w:szCs w:val="32"/>
        </w:rPr>
        <w:t>%。</w:t>
      </w:r>
    </w:p>
    <w:p w14:paraId="35988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60A1C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w:t>
      </w:r>
      <w:r>
        <w:rPr>
          <w:rFonts w:hint="default" w:ascii="Times New Roman" w:hAnsi="Times New Roman" w:eastAsia="仿宋" w:cs="Times New Roman"/>
          <w:sz w:val="32"/>
          <w:szCs w:val="32"/>
          <w:lang w:eastAsia="zh-CN"/>
        </w:rPr>
        <w:t>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年收支总预算</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万元，较</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年收支预算总数</w:t>
      </w:r>
      <w:r>
        <w:rPr>
          <w:rFonts w:hint="eastAsia" w:ascii="Times New Roman" w:hAnsi="Times New Roman" w:eastAsia="仿宋" w:cs="Times New Roman"/>
          <w:sz w:val="32"/>
          <w:szCs w:val="32"/>
          <w:lang w:val="en-US" w:eastAsia="zh-CN"/>
        </w:rPr>
        <w:t>增加18.77</w:t>
      </w:r>
      <w:r>
        <w:rPr>
          <w:rFonts w:hint="default" w:ascii="Times New Roman" w:hAnsi="Times New Roman" w:eastAsia="仿宋" w:cs="Times New Roman"/>
          <w:sz w:val="32"/>
          <w:szCs w:val="32"/>
        </w:rPr>
        <w:t>万元，主要是</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项目支出</w:t>
      </w:r>
      <w:r>
        <w:rPr>
          <w:rFonts w:hint="default" w:ascii="Times New Roman" w:hAnsi="Times New Roman" w:eastAsia="仿宋" w:cs="Times New Roman"/>
          <w:sz w:val="32"/>
          <w:szCs w:val="32"/>
          <w:lang w:val="en-US" w:eastAsia="zh-CN"/>
        </w:rPr>
        <w:t>有所</w:t>
      </w:r>
      <w:r>
        <w:rPr>
          <w:rFonts w:hint="eastAsia" w:ascii="Times New Roman" w:hAnsi="Times New Roman" w:eastAsia="仿宋" w:cs="Times New Roman"/>
          <w:sz w:val="32"/>
          <w:szCs w:val="32"/>
          <w:lang w:val="en-US" w:eastAsia="zh-CN"/>
        </w:rPr>
        <w:t>增加</w:t>
      </w:r>
      <w:r>
        <w:rPr>
          <w:rFonts w:hint="default" w:ascii="Times New Roman" w:hAnsi="Times New Roman" w:eastAsia="仿宋" w:cs="Times New Roman"/>
          <w:sz w:val="32"/>
          <w:szCs w:val="32"/>
          <w:lang w:val="en-US" w:eastAsia="zh-CN"/>
        </w:rPr>
        <w:t>。</w:t>
      </w:r>
    </w:p>
    <w:p w14:paraId="1627C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收入包括：本年一般公共预算拨款收入</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万元；支出包括：灾害防治及应急管理支出</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w:t>
      </w:r>
    </w:p>
    <w:p w14:paraId="457D5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3DB6A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14:paraId="07F12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年收支总预算</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万元，较上年收支预算总数</w:t>
      </w:r>
      <w:r>
        <w:rPr>
          <w:rFonts w:hint="eastAsia" w:ascii="Times New Roman" w:hAnsi="Times New Roman" w:eastAsia="仿宋" w:cs="Times New Roman"/>
          <w:sz w:val="32"/>
          <w:szCs w:val="32"/>
          <w:lang w:val="en-US" w:eastAsia="zh-CN"/>
        </w:rPr>
        <w:t>增加18.77</w:t>
      </w:r>
      <w:r>
        <w:rPr>
          <w:rFonts w:hint="default" w:ascii="Times New Roman" w:hAnsi="Times New Roman" w:eastAsia="仿宋" w:cs="Times New Roman"/>
          <w:sz w:val="32"/>
          <w:szCs w:val="32"/>
        </w:rPr>
        <w:t>万元，主要是</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项目支出有所增加</w:t>
      </w:r>
      <w:r>
        <w:rPr>
          <w:rFonts w:hint="default" w:ascii="Times New Roman" w:hAnsi="Times New Roman" w:eastAsia="仿宋" w:cs="Times New Roman"/>
          <w:sz w:val="32"/>
          <w:szCs w:val="32"/>
          <w:lang w:val="en-US" w:eastAsia="zh-CN"/>
        </w:rPr>
        <w:t>。</w:t>
      </w:r>
    </w:p>
    <w:p w14:paraId="798A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75E0F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灾害防治及应急管理支出</w:t>
      </w:r>
      <w:r>
        <w:rPr>
          <w:rFonts w:hint="eastAsia" w:ascii="Times New Roman" w:hAnsi="Times New Roman" w:eastAsia="仿宋" w:cs="Times New Roman"/>
          <w:sz w:val="32"/>
          <w:szCs w:val="32"/>
          <w:lang w:val="en-US" w:eastAsia="zh-CN"/>
        </w:rPr>
        <w:t>123.87</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w:t>
      </w:r>
    </w:p>
    <w:p w14:paraId="763641B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一般公共预算当年拨款具体使用情况</w:t>
      </w:r>
    </w:p>
    <w:p w14:paraId="3939A52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灾害防治及应急管理（224）应急管理事务（01）行政</w:t>
      </w:r>
      <w:r>
        <w:rPr>
          <w:rFonts w:hint="eastAsia" w:ascii="Times New Roman" w:hAnsi="Times New Roman" w:eastAsia="仿宋" w:cs="Times New Roman"/>
          <w:sz w:val="32"/>
          <w:szCs w:val="32"/>
          <w:lang w:val="en-US" w:eastAsia="zh-CN"/>
        </w:rPr>
        <w:t xml:space="preserve">运行（01）2025年预算数为27.60万元，主要用于：局机关正常运转的基本支出，包括办公费、印刷费、邮电费、差旅费、维修（护）费、租赁费、公务接待费、其他交通费、其他商品和服务等支出。 </w:t>
      </w:r>
    </w:p>
    <w:p w14:paraId="69AB2D8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灾害防治及应急管理</w:t>
      </w:r>
      <w:r>
        <w:rPr>
          <w:rFonts w:hint="eastAsia" w:ascii="Times New Roman" w:hAnsi="Times New Roman" w:eastAsia="仿宋" w:cs="Times New Roman"/>
          <w:sz w:val="32"/>
          <w:szCs w:val="32"/>
          <w:lang w:val="en-US" w:eastAsia="zh-CN"/>
        </w:rPr>
        <w:t>（224）</w:t>
      </w:r>
      <w:r>
        <w:rPr>
          <w:rFonts w:hint="default" w:ascii="Times New Roman" w:hAnsi="Times New Roman" w:eastAsia="仿宋" w:cs="Times New Roman"/>
          <w:sz w:val="32"/>
          <w:szCs w:val="32"/>
          <w:lang w:val="en-US" w:eastAsia="zh-CN"/>
        </w:rPr>
        <w:t>应急管理事务</w:t>
      </w:r>
      <w:r>
        <w:rPr>
          <w:rFonts w:hint="eastAsia" w:ascii="Times New Roman" w:hAnsi="Times New Roman" w:eastAsia="仿宋" w:cs="Times New Roman"/>
          <w:sz w:val="32"/>
          <w:szCs w:val="32"/>
          <w:lang w:val="en-US" w:eastAsia="zh-CN"/>
        </w:rPr>
        <w:t>（01）一般行政管理事务（02）2025年预算数为4.5万元，主要用于执法车辆维修保养、日常燃油费用等支出。</w:t>
      </w:r>
    </w:p>
    <w:p w14:paraId="09C6B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3.灾害防治及应急管理（224）应急管理事务（01）安全监管（06）2025年预算数为24.90万元，主要用于：视频调试系统网络通讯费、打非治违专项经费、安全生产培训宣传费、政府购买服务专家费等费用的支出。 </w:t>
      </w:r>
    </w:p>
    <w:p w14:paraId="3605C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4.灾害防治及应急管理（224）应急管理事务（01）一般行政管理事务（02）2025年预算数为66.87万元，主要用于：劳务派遣人员费用、消防灭火泡沫采购、驻村第一书记待遇经费、会计代理费等相关工作费用的支出。 </w:t>
      </w:r>
    </w:p>
    <w:p w14:paraId="32DB9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173A1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年一般公共预算基本支出</w:t>
      </w:r>
      <w:r>
        <w:rPr>
          <w:rFonts w:hint="eastAsia" w:ascii="Times New Roman" w:hAnsi="Times New Roman" w:eastAsia="仿宋" w:cs="Times New Roman"/>
          <w:sz w:val="32"/>
          <w:szCs w:val="32"/>
          <w:lang w:val="en-US" w:eastAsia="zh-CN"/>
        </w:rPr>
        <w:t>32.10</w:t>
      </w:r>
      <w:r>
        <w:rPr>
          <w:rFonts w:hint="default" w:ascii="Times New Roman" w:hAnsi="Times New Roman" w:eastAsia="仿宋" w:cs="Times New Roman"/>
          <w:sz w:val="32"/>
          <w:szCs w:val="32"/>
        </w:rPr>
        <w:t>万元，其中：公用经费</w:t>
      </w:r>
      <w:r>
        <w:rPr>
          <w:rFonts w:hint="eastAsia" w:ascii="Times New Roman" w:hAnsi="Times New Roman" w:eastAsia="仿宋" w:cs="Times New Roman"/>
          <w:sz w:val="32"/>
          <w:szCs w:val="32"/>
          <w:lang w:val="en-US" w:eastAsia="zh-CN"/>
        </w:rPr>
        <w:t>32.10</w:t>
      </w:r>
      <w:r>
        <w:rPr>
          <w:rFonts w:hint="default" w:ascii="Times New Roman" w:hAnsi="Times New Roman" w:eastAsia="仿宋" w:cs="Times New Roman"/>
          <w:sz w:val="32"/>
          <w:szCs w:val="32"/>
        </w:rPr>
        <w:t>万元，主要包括：</w:t>
      </w:r>
      <w:r>
        <w:rPr>
          <w:rFonts w:hint="default" w:ascii="Times New Roman" w:hAnsi="Times New Roman" w:eastAsia="仿宋" w:cs="Times New Roman"/>
          <w:sz w:val="32"/>
          <w:szCs w:val="32"/>
          <w:highlight w:val="none"/>
          <w:shd w:val="clear" w:color="auto" w:fill="auto"/>
          <w:lang w:eastAsia="zh-CN"/>
        </w:rPr>
        <w:t>办公费、印刷费、邮电费、差旅费、维修（护）费、租赁费、公务接待费、其他交通费用、其他商品和服务</w:t>
      </w:r>
      <w:r>
        <w:rPr>
          <w:rFonts w:hint="default" w:ascii="Times New Roman" w:hAnsi="Times New Roman" w:eastAsia="仿宋" w:cs="Times New Roman"/>
          <w:sz w:val="32"/>
          <w:szCs w:val="32"/>
          <w:highlight w:val="none"/>
        </w:rPr>
        <w:t>等</w:t>
      </w:r>
      <w:r>
        <w:rPr>
          <w:rFonts w:hint="default" w:ascii="Times New Roman" w:hAnsi="Times New Roman" w:eastAsia="仿宋" w:cs="Times New Roman"/>
          <w:sz w:val="32"/>
          <w:szCs w:val="32"/>
          <w:highlight w:val="none"/>
          <w:lang w:eastAsia="zh-CN"/>
        </w:rPr>
        <w:t>支出</w:t>
      </w:r>
    </w:p>
    <w:p w14:paraId="75445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14:paraId="52C76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年“三公”经费财政拨款预算数</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万元，其中：因公出国（境）经费</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万元，公务接待费</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万元，公务用车购置及运行维护费</w:t>
      </w:r>
      <w:r>
        <w:rPr>
          <w:rFonts w:hint="eastAsia"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rPr>
        <w:t>万元。</w:t>
      </w:r>
    </w:p>
    <w:p w14:paraId="484F4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因公出国（境）经费与</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w:t>
      </w:r>
      <w:r>
        <w:rPr>
          <w:rFonts w:hint="default" w:ascii="Times New Roman" w:hAnsi="Times New Roman" w:eastAsia="楷体" w:cs="Times New Roman"/>
          <w:sz w:val="32"/>
          <w:szCs w:val="32"/>
        </w:rPr>
        <w:t>预算持平。</w:t>
      </w:r>
    </w:p>
    <w:p w14:paraId="3B890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（二）公务接待费与</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w:t>
      </w:r>
      <w:r>
        <w:rPr>
          <w:rFonts w:hint="default" w:ascii="Times New Roman" w:hAnsi="Times New Roman" w:eastAsia="楷体" w:cs="Times New Roman"/>
          <w:sz w:val="32"/>
          <w:szCs w:val="32"/>
        </w:rPr>
        <w:t>预算</w:t>
      </w:r>
      <w:r>
        <w:rPr>
          <w:rFonts w:hint="eastAsia" w:ascii="Times New Roman" w:hAnsi="Times New Roman" w:eastAsia="楷体" w:cs="Times New Roman"/>
          <w:sz w:val="32"/>
          <w:szCs w:val="32"/>
          <w:lang w:val="en-US" w:eastAsia="zh-CN"/>
        </w:rPr>
        <w:t>降低</w:t>
      </w:r>
      <w:r>
        <w:rPr>
          <w:rFonts w:hint="default" w:ascii="Times New Roman" w:hAnsi="Times New Roman" w:eastAsia="楷体" w:cs="Times New Roman"/>
          <w:sz w:val="32"/>
          <w:szCs w:val="32"/>
        </w:rPr>
        <w:t>。</w:t>
      </w:r>
    </w:p>
    <w:p w14:paraId="3574B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（三）公务用车购置及运行维护费与</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w:t>
      </w:r>
      <w:r>
        <w:rPr>
          <w:rFonts w:hint="default" w:ascii="Times New Roman" w:hAnsi="Times New Roman" w:eastAsia="楷体" w:cs="Times New Roman"/>
          <w:sz w:val="32"/>
          <w:szCs w:val="32"/>
        </w:rPr>
        <w:t>预算持平。</w:t>
      </w:r>
    </w:p>
    <w:p w14:paraId="48F5D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部门现有公务用车</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辆，其中：轿车</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辆，越野车</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辆，大型客、货车</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辆。</w:t>
      </w:r>
    </w:p>
    <w:p w14:paraId="51611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年安排公务用车购置费</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p>
    <w:p w14:paraId="7BF09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年安排公务用车运行维护费</w:t>
      </w:r>
      <w:r>
        <w:rPr>
          <w:rFonts w:hint="eastAsia"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rPr>
        <w:t>万元。</w:t>
      </w:r>
    </w:p>
    <w:p w14:paraId="721A8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八、“会议费”、“培训费”、“差旅费”财政拨款预算安排情况说明</w:t>
      </w:r>
    </w:p>
    <w:p w14:paraId="6A936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年“会议费”“培训费”“差旅费”财政拨款预算数</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万元，其中：会议费</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万元，培训费</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万元，差旅费</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万元。</w:t>
      </w:r>
    </w:p>
    <w:p w14:paraId="1C77D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会议费</w:t>
      </w:r>
      <w:r>
        <w:rPr>
          <w:rFonts w:hint="default" w:ascii="Times New Roman" w:hAnsi="Times New Roman" w:eastAsia="楷体" w:cs="Times New Roman"/>
          <w:sz w:val="32"/>
          <w:szCs w:val="32"/>
          <w:lang w:eastAsia="zh-CN"/>
        </w:rPr>
        <w:t>与</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年持平</w:t>
      </w:r>
      <w:r>
        <w:rPr>
          <w:rFonts w:hint="default" w:ascii="Times New Roman" w:hAnsi="Times New Roman" w:eastAsia="楷体" w:cs="Times New Roman"/>
          <w:sz w:val="32"/>
          <w:szCs w:val="32"/>
        </w:rPr>
        <w:t>。</w:t>
      </w:r>
    </w:p>
    <w:p w14:paraId="2E078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培训费</w:t>
      </w:r>
      <w:r>
        <w:rPr>
          <w:rFonts w:hint="default" w:ascii="Times New Roman" w:hAnsi="Times New Roman" w:eastAsia="楷体" w:cs="Times New Roman"/>
          <w:sz w:val="32"/>
          <w:szCs w:val="32"/>
          <w:lang w:eastAsia="zh-CN"/>
        </w:rPr>
        <w:t>与</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年持平</w:t>
      </w:r>
      <w:r>
        <w:rPr>
          <w:rFonts w:hint="default" w:ascii="Times New Roman" w:hAnsi="Times New Roman" w:eastAsia="楷体" w:cs="Times New Roman"/>
          <w:sz w:val="32"/>
          <w:szCs w:val="32"/>
        </w:rPr>
        <w:t>。</w:t>
      </w:r>
    </w:p>
    <w:p w14:paraId="1FA2F75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（三）差旅费</w:t>
      </w:r>
      <w:r>
        <w:rPr>
          <w:rFonts w:hint="default" w:ascii="Times New Roman" w:hAnsi="Times New Roman" w:eastAsia="楷体" w:cs="Times New Roman"/>
          <w:sz w:val="32"/>
          <w:szCs w:val="32"/>
          <w:lang w:eastAsia="zh-CN"/>
        </w:rPr>
        <w:t>比</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年增加0.</w:t>
      </w: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val="en-US" w:eastAsia="zh-CN"/>
        </w:rPr>
        <w:t>万元，较上年</w:t>
      </w:r>
      <w:bookmarkStart w:id="0" w:name="_GoBack"/>
      <w:bookmarkEnd w:id="0"/>
      <w:r>
        <w:rPr>
          <w:rFonts w:hint="default" w:ascii="Times New Roman" w:hAnsi="Times New Roman" w:eastAsia="楷体" w:cs="Times New Roman"/>
          <w:sz w:val="32"/>
          <w:szCs w:val="32"/>
          <w:lang w:val="en-US" w:eastAsia="zh-CN"/>
        </w:rPr>
        <w:t>增长</w:t>
      </w:r>
      <w:r>
        <w:rPr>
          <w:rFonts w:hint="eastAsia" w:ascii="Times New Roman" w:hAnsi="Times New Roman" w:eastAsia="楷体" w:cs="Times New Roman"/>
          <w:sz w:val="32"/>
          <w:szCs w:val="32"/>
          <w:lang w:val="en-US" w:eastAsia="zh-CN"/>
        </w:rPr>
        <w:t>66.67</w:t>
      </w: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w:t>
      </w:r>
    </w:p>
    <w:p w14:paraId="79AAC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仿宋" w:cs="Times New Roman"/>
          <w:sz w:val="32"/>
          <w:szCs w:val="32"/>
        </w:rPr>
        <w:t>主要原因是</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default" w:ascii="Times New Roman" w:hAnsi="Times New Roman" w:eastAsia="仿宋" w:cs="Times New Roman"/>
          <w:sz w:val="32"/>
          <w:szCs w:val="32"/>
          <w:lang w:eastAsia="zh-CN"/>
        </w:rPr>
        <w:t>外出进行</w:t>
      </w:r>
      <w:r>
        <w:rPr>
          <w:rFonts w:hint="eastAsia" w:ascii="Times New Roman" w:hAnsi="Times New Roman" w:eastAsia="仿宋" w:cs="Times New Roman"/>
          <w:sz w:val="32"/>
          <w:szCs w:val="32"/>
          <w:lang w:val="en-US" w:eastAsia="zh-CN"/>
        </w:rPr>
        <w:t>培训、考察学习、交叉执法检查</w:t>
      </w:r>
      <w:r>
        <w:rPr>
          <w:rFonts w:hint="default" w:ascii="Times New Roman" w:hAnsi="Times New Roman" w:eastAsia="仿宋" w:cs="Times New Roman"/>
          <w:sz w:val="32"/>
          <w:szCs w:val="32"/>
        </w:rPr>
        <w:t>。</w:t>
      </w:r>
    </w:p>
    <w:p w14:paraId="64EC7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九、政府性基金预算支出情况说明</w:t>
      </w:r>
    </w:p>
    <w:p w14:paraId="1ED84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年没有使用政府性基金预算拨款安排的支出。</w:t>
      </w:r>
    </w:p>
    <w:p w14:paraId="0DFDF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十、国有资本经营预算支出情况说明</w:t>
      </w:r>
    </w:p>
    <w:p w14:paraId="30E38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年没有使用国有资本经营预算拨款安排的支出。</w:t>
      </w:r>
    </w:p>
    <w:p w14:paraId="24607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十一、其他重要事项的情况说明</w:t>
      </w:r>
    </w:p>
    <w:p w14:paraId="0CECE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w:t>
      </w:r>
    </w:p>
    <w:p w14:paraId="45E81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遂宁市应急管理局经济技术开发区分局 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年未安排</w:t>
      </w:r>
      <w:r>
        <w:rPr>
          <w:rFonts w:hint="eastAsia" w:ascii="Times New Roman" w:hAnsi="Times New Roman" w:eastAsia="仿宋" w:cs="Times New Roman"/>
          <w:sz w:val="32"/>
          <w:szCs w:val="32"/>
          <w:lang w:val="en-US" w:eastAsia="zh-CN"/>
        </w:rPr>
        <w:t>机关运行经费。</w:t>
      </w:r>
    </w:p>
    <w:p w14:paraId="0D1E3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14:paraId="0409C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遂宁市应急管理局经济技术开发区分局 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 xml:space="preserve">年无政府 </w:t>
      </w:r>
      <w:r>
        <w:rPr>
          <w:rFonts w:hint="eastAsia" w:ascii="Times New Roman" w:hAnsi="Times New Roman" w:eastAsia="仿宋" w:cs="Times New Roman"/>
          <w:sz w:val="32"/>
          <w:szCs w:val="32"/>
          <w:lang w:val="en-US" w:eastAsia="zh-CN"/>
        </w:rPr>
        <w:t>采购项目，未安排政府采购预算。</w:t>
      </w:r>
    </w:p>
    <w:p w14:paraId="65BAA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14:paraId="222A2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年本部门预算未安排购置车辆及单位价值200万元以上大型设备。</w:t>
      </w:r>
    </w:p>
    <w:p w14:paraId="18E3E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14:paraId="2DDA3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绩效目标是预算编制的前提和基础，按照“费随事定”的原则，</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经开区</w:t>
      </w:r>
      <w:r>
        <w:rPr>
          <w:rFonts w:hint="eastAsia" w:ascii="Times New Roman" w:hAnsi="Times New Roman" w:eastAsia="仿宋" w:cs="Times New Roman"/>
          <w:sz w:val="32"/>
          <w:szCs w:val="32"/>
          <w:lang w:val="en-US" w:eastAsia="zh-CN"/>
        </w:rPr>
        <w:t>应急管理分局</w:t>
      </w:r>
      <w:r>
        <w:rPr>
          <w:rFonts w:hint="default" w:ascii="Times New Roman" w:hAnsi="Times New Roman" w:eastAsia="仿宋" w:cs="Times New Roman"/>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6AD0E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十二、名词解释</w:t>
      </w:r>
    </w:p>
    <w:p w14:paraId="18C0C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1.一般公共预算拨款收入：指</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本级财政当年拨付的资金。</w:t>
      </w:r>
    </w:p>
    <w:p w14:paraId="7DBF1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2.基本支出：指为保证机构正常运转，完成日常工作任务而发生的人员支出和公用支出。</w:t>
      </w:r>
    </w:p>
    <w:p w14:paraId="0AB2B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3.项目支出：指在基本支出之外为完成特定行政任务和事业发展目标所发生的支出。</w:t>
      </w:r>
    </w:p>
    <w:p w14:paraId="30EFC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582E6B6B">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p>
    <w:p w14:paraId="7D3A272B"/>
    <w:sectPr>
      <w:footerReference r:id="rId3" w:type="default"/>
      <w:pgSz w:w="11906" w:h="16838"/>
      <w:pgMar w:top="2007" w:right="1633" w:bottom="1723" w:left="1689" w:header="720" w:footer="7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C5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790178">
                          <w:pPr>
                            <w:pStyle w:val="4"/>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790178">
                    <w:pPr>
                      <w:pStyle w:val="4"/>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20CC9"/>
    <w:multiLevelType w:val="singleLevel"/>
    <w:tmpl w:val="2E020CC9"/>
    <w:lvl w:ilvl="0" w:tentative="0">
      <w:start w:val="3"/>
      <w:numFmt w:val="chineseCounting"/>
      <w:suff w:val="nothing"/>
      <w:lvlText w:val="（%1）"/>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30AC4"/>
    <w:rsid w:val="009F4C1B"/>
    <w:rsid w:val="182B5270"/>
    <w:rsid w:val="414C7ECC"/>
    <w:rsid w:val="576A00F7"/>
    <w:rsid w:val="6F63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link w:val="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basedOn w:val="7"/>
    <w:link w:val="3"/>
    <w:qFormat/>
    <w:uiPriority w:val="9"/>
    <w:rPr>
      <w:rFonts w:ascii="Cambria" w:hAnsi="Cambria" w:eastAsia="宋体" w:cs="Times New Roman"/>
      <w:b/>
      <w:bCs/>
      <w:sz w:val="32"/>
      <w:szCs w:val="32"/>
    </w:rPr>
  </w:style>
  <w:style w:type="paragraph" w:customStyle="1" w:styleId="10">
    <w:name w:val="UserStyle_0"/>
    <w:basedOn w:val="1"/>
    <w:qFormat/>
    <w:uiPriority w:val="0"/>
    <w:pPr>
      <w:spacing w:line="240" w:lineRule="auto"/>
      <w:jc w:val="left"/>
    </w:pPr>
    <w:rPr>
      <w:rFonts w:ascii="宋体" w:hAnsi="Calibri" w:eastAsia="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3878</Words>
  <Characters>4174</Characters>
  <Lines>0</Lines>
  <Paragraphs>0</Paragraphs>
  <TotalTime>18</TotalTime>
  <ScaleCrop>false</ScaleCrop>
  <LinksUpToDate>false</LinksUpToDate>
  <CharactersWithSpaces>4196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2025-07-14T07:15:00Z</dcterms:created>
  <dc:creator>Derker.x</dc:creator>
  <cp:lastModifiedBy>Derker.x</cp:lastModifiedBy>
  <dcterms:modified xsi:type="dcterms:W3CDTF">2025-07-15T09:35:29Z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066C561150AB475DAF227A99132B974C_13</vt:lpwstr>
  </property>
  <property fmtid="{D5CDD505-2E9C-101B-9397-08002B2CF9AE}" pid="4" name="KSOTemplateDocerSaveRecord">
    <vt:lpwstr>eyJoZGlkIjoiYWJmNTAxYTA0NTllZTU0OWY5NWY0MWNlMzBjNGU2OTYiLCJ1c2VySWQiOiIyNjUwMzEyNzkifQ==</vt:lpwstr>
  </property>
</Properties>
</file>