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ED04B">
      <w:pPr>
        <w:widowControl/>
        <w:shd w:val="clear" w:color="auto" w:fill="FFFFFF"/>
        <w:jc w:val="center"/>
        <w:rPr>
          <w:rFonts w:cs="宋体" w:asciiTheme="majorEastAsia" w:hAnsiTheme="majorEastAsia" w:eastAsiaTheme="majorEastAsia"/>
          <w:color w:val="0D0D0D" w:themeColor="text1" w:themeTint="F2"/>
          <w:kern w:val="0"/>
          <w:sz w:val="48"/>
          <w:szCs w:val="48"/>
          <w14:textFill>
            <w14:solidFill>
              <w14:schemeClr w14:val="tx1">
                <w14:lumMod w14:val="95000"/>
                <w14:lumOff w14:val="5000"/>
              </w14:schemeClr>
            </w14:solidFill>
          </w14:textFill>
        </w:rPr>
      </w:pP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t>遂宁市明月小学校</w:t>
      </w: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br w:type="textWrapping"/>
      </w: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t>202</w:t>
      </w:r>
      <w:r>
        <w:rPr>
          <w:rFonts w:hint="eastAsia" w:cs="宋体" w:asciiTheme="majorEastAsia" w:hAnsiTheme="majorEastAsia" w:eastAsiaTheme="majorEastAsia"/>
          <w:b/>
          <w:bCs/>
          <w:color w:val="0D0D0D" w:themeColor="text1" w:themeTint="F2"/>
          <w:kern w:val="0"/>
          <w:sz w:val="48"/>
          <w:szCs w:val="48"/>
          <w:lang w:val="en-US" w:eastAsia="zh-CN"/>
          <w14:textFill>
            <w14:solidFill>
              <w14:schemeClr w14:val="tx1">
                <w14:lumMod w14:val="95000"/>
                <w14:lumOff w14:val="5000"/>
              </w14:schemeClr>
            </w14:solidFill>
          </w14:textFill>
        </w:rPr>
        <w:t>5</w:t>
      </w:r>
      <w:r>
        <w:rPr>
          <w:rFonts w:hint="eastAsia" w:cs="宋体" w:asciiTheme="majorEastAsia" w:hAnsiTheme="majorEastAsia" w:eastAsiaTheme="majorEastAsia"/>
          <w:b/>
          <w:bCs/>
          <w:color w:val="0D0D0D" w:themeColor="text1" w:themeTint="F2"/>
          <w:kern w:val="0"/>
          <w:sz w:val="48"/>
          <w:szCs w:val="48"/>
          <w14:textFill>
            <w14:solidFill>
              <w14:schemeClr w14:val="tx1">
                <w14:lumMod w14:val="95000"/>
                <w14:lumOff w14:val="5000"/>
              </w14:schemeClr>
            </w14:solidFill>
          </w14:textFill>
        </w:rPr>
        <w:t>年部门预算</w:t>
      </w:r>
    </w:p>
    <w:p w14:paraId="38A06670">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目录</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第一部分202</w:t>
      </w:r>
      <w:r>
        <w:rPr>
          <w:rFonts w:hint="eastAsia" w:cs="宋体" w:asciiTheme="minorEastAsia" w:hAnsiTheme="minorEastAsia"/>
          <w:b/>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年部门预算编制说明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一、基本职能及主要工作</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二、部门预算单位构成</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三、收支预算情况说明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四、财政拨款收支预算情况说明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五、一般公共预算当年拨款情况说明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六、一般公共预算基本支出情况说明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七、“三公”经费财政拨款预算安排情况说明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八、“会议费”、“培训费”、“差旅费”财政拨款预算安排情况说明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九、政府性基金预算支出情况说明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十、国有资本经营预算支出情况说明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十一、其他重要事项的情况说明</w:t>
      </w:r>
    </w:p>
    <w:p w14:paraId="65F4A8E1">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十二、名词解释</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第二部分202</w:t>
      </w:r>
      <w:r>
        <w:rPr>
          <w:rFonts w:hint="eastAsia" w:cs="宋体" w:asciiTheme="minorEastAsia" w:hAnsiTheme="minorEastAsia"/>
          <w:b/>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年部门预算报表表</w:t>
      </w:r>
    </w:p>
    <w:p w14:paraId="15680726">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1. 部门收支总表</w:t>
      </w:r>
    </w:p>
    <w:p w14:paraId="14DDF3FE">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表1-1. 部门收入总表</w:t>
      </w:r>
    </w:p>
    <w:p w14:paraId="66CE219C">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表1-2. 部门支出总表</w:t>
      </w:r>
    </w:p>
    <w:p w14:paraId="2F259B85">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表2. 财政拨款收支预算总表</w:t>
      </w:r>
    </w:p>
    <w:p w14:paraId="13722044">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表2-1. 财政拨款支出预算表（政府经济分类科目）</w:t>
      </w:r>
    </w:p>
    <w:p w14:paraId="5CDB7633">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 一般公共预算支出预算表</w:t>
      </w:r>
    </w:p>
    <w:p w14:paraId="21CBD15E">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表3-1. 一般公共预算基本支出预算表</w:t>
      </w:r>
    </w:p>
    <w:p w14:paraId="23A607D7">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表3-2. 一般公共预算项目支出预算表</w:t>
      </w:r>
    </w:p>
    <w:p w14:paraId="1D279A83">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表3-3. 一般公共预算“三公”经费支出预算表</w:t>
      </w:r>
    </w:p>
    <w:p w14:paraId="545ECD5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表4. 政府性基金支出预算表</w:t>
      </w:r>
    </w:p>
    <w:p w14:paraId="6DDE9709">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表4-1. 政府性基金预算“三公”经费支出预算表</w:t>
      </w:r>
    </w:p>
    <w:p w14:paraId="63B5985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表5. 国有资本经营预算支出预算表</w:t>
      </w:r>
    </w:p>
    <w:p w14:paraId="416BBF7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1078E8A2">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07B0168D">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5A9864D9">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76B2E56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30C6575A">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200FA55F">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1CD0E697">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24E6BC35">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3DC5925F">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2181F17D">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45B16BED">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763DC64B">
      <w:pPr>
        <w:widowControl/>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p>
    <w:p w14:paraId="4E07A48B">
      <w:pPr>
        <w:widowControl/>
        <w:jc w:val="left"/>
        <w:rPr>
          <w:rFonts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pPr>
    </w:p>
    <w:p w14:paraId="773FA9EE">
      <w:pPr>
        <w:widowControl/>
        <w:shd w:val="clear" w:color="auto" w:fill="FFFFFF"/>
        <w:jc w:val="center"/>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遂宁经济技术开发区明月小学校</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年部门预算编制说明</w:t>
      </w:r>
    </w:p>
    <w:p w14:paraId="084D9214">
      <w:pPr>
        <w:pStyle w:val="10"/>
        <w:widowControl/>
        <w:numPr>
          <w:ilvl w:val="0"/>
          <w:numId w:val="1"/>
        </w:numPr>
        <w:ind w:firstLineChars="0"/>
        <w:jc w:val="left"/>
        <w:rPr>
          <w:rFonts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基本职能及主要工作</w:t>
      </w:r>
    </w:p>
    <w:p w14:paraId="5B3C5E67">
      <w:pPr>
        <w:widowControl/>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 明月小学职能简介</w:t>
      </w:r>
    </w:p>
    <w:p w14:paraId="28C898A7">
      <w:pPr>
        <w:pStyle w:val="10"/>
        <w:widowControl/>
        <w:ind w:left="390" w:firstLine="0" w:firstLineChars="0"/>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认真贯彻国家教育方针,全面实施素质教育,坚持文化立校、科研兴校、制度建校、服务强校，全面提高教育、教学质量。教育要面向全体学生，面向学生的每一个方面，抓好青少年思想道德、文化知识、劳动技能和身体心理素质的培养和提高，促进学生全面健康发展。</w:t>
      </w:r>
    </w:p>
    <w:p w14:paraId="6B084A70">
      <w:pPr>
        <w:pStyle w:val="10"/>
        <w:widowControl/>
        <w:ind w:left="390" w:firstLine="0" w:firstLineChars="0"/>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（二）明月小学202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年重点工作</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1、抓好教学常规工作，努力提高教学质量。</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2、做好安全教育与宣传工作。</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二、部门预算单位构成</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明月小学是一所义务教育小学，共有学生</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四</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百余名。我校属全额拨款事业单位，现有专业技术人员</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三、收支预算情况说明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按照综合预算的原则，明月小学所有收入和支出均纳入部门预算管理。202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年财政收入预算总额为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万元，其中：当年财政拨款收入</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万元。相应安排支出预算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万元，支出包括：教育支出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420.55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82.47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31.35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51.29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年收支总预算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年收支预算总数</w:t>
      </w:r>
      <w:bookmarkStart w:id="0" w:name="_Hlk45890722"/>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减少39.87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万元，主要是</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和项目经费</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bookmarkEnd w:id="0"/>
    </w:p>
    <w:p w14:paraId="743E0D08">
      <w:pPr>
        <w:pStyle w:val="10"/>
        <w:widowControl/>
        <w:ind w:left="390" w:firstLine="0" w:firstLineChars="0"/>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（一）收入预算情况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年收入预算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万元，一般公共预算拨款收入</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万元，占100%。</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（二）支出预算情况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年支出预算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万元，其中：基本支出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571.16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万元，占9</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%；项目支出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14.5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四、财政拨款收支预算情况说明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年财政拨款收支总预算</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年收支预算总数</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减少39.87万</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w:t>
      </w:r>
      <w:bookmarkStart w:id="1" w:name="_Hlk45891464"/>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主要是</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和项目经费</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bookmarkEnd w:id="1"/>
    </w:p>
    <w:p w14:paraId="3F1D03CC">
      <w:pPr>
        <w:widowControl/>
        <w:ind w:left="420" w:leftChars="200"/>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收入包括：本年一般公共预算拨款收入</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元。支出包括：教育支出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420.55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82.47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31.35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51.29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五、一般公共预算当年拨款情况说明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（一）一般公共预算当年拨款规模变化情况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年一般公共预算当年拨款</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年预算数</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减少39.87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万元。主要是</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减少</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和项目经费</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p>
    <w:p w14:paraId="2C91795A">
      <w:pPr>
        <w:widowControl/>
        <w:jc w:val="left"/>
        <w:rPr>
          <w:rFonts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（二）一般公共预算当年拨款结构情况</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420.55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72</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82.47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万元，占1</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31.35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万元，占</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51.29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元,占</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（三）一般公共预算当年拨款具体使用情况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我校预算安排支出主要用于保障学校正常运转、完成日常工作任务以及承担全区财政事业发展相关工作。</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基本支出，是用于保障学校正常运转的日常支出，包括基本工资、津贴补贴、其他社会保障缴费、绩效工资、养老保险缴费、住房公积金等人员经费以及办公费、印刷费、水电费、办公设备购置等日常公用经费。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项目支出，是用于保障学校为完成特定的行政工作任务或事业发展目标，用于专项业务工作的经费支出。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按支出功能分类主要用于以下方面:</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1.明月小学教育支出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420.55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基本工资等人员经费、日常公用经费以及为完成特定的行政工作任务或事业发展目标而安排的年度项目支出，主要包括大平台与运行维护费、财政票据印制、预决算编制软件及运行维护等方面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 明月小学社会保障和就业支出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82.47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万元，主要用于学校离退人员医疗和办公支出，在职教师缴纳的基本医疗保险等支出。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3. 明月小学医疗卫生支出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31.35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万元，主要用于学校缴纳的基本医疗保险等支出。</w:t>
      </w:r>
    </w:p>
    <w:p w14:paraId="696A63EC">
      <w:pPr>
        <w:widowControl/>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4.明月小学住房保障支出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21.29</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万元，主要用于学校缴纳住房公积金支出。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六、一般公共预算基本支出情况说明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年一般公共预算基本支出</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585.66</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万元，其中：</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人员经费</w:t>
      </w:r>
      <w:r>
        <w:rPr>
          <w:rFonts w:hint="eastAsia" w:cs="宋体" w:asciiTheme="minorEastAsia" w:hAnsiTheme="minorEastAsia"/>
          <w:color w:val="0D0D0D" w:themeColor="text1" w:themeTint="F2"/>
          <w:kern w:val="0"/>
          <w:sz w:val="28"/>
          <w:szCs w:val="28"/>
          <w:lang w:val="en-US" w:eastAsia="zh-CN"/>
          <w14:textFill>
            <w14:solidFill>
              <w14:schemeClr w14:val="tx1">
                <w14:lumMod w14:val="95000"/>
                <w14:lumOff w14:val="5000"/>
              </w14:schemeClr>
            </w14:solidFill>
          </w14:textFill>
        </w:rPr>
        <w:t>565.96</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t>万</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元，主要包括：基本工资、津贴补贴、社会保险缴费、绩效工资、机关事业单位基本养老保险缴费、住房公积金等。</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公用经费</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19.7</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万元，主要包括：办公费、印刷费、水费、电费、邮电费、差旅费、维修（护）费、会议费、培训费、劳务费、工会经费、福利费、其他交通费、其他商品和服务支出。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七、“三公”经费财政拨款预算安排情况说明</w:t>
      </w:r>
      <w:bookmarkStart w:id="2" w:name="_GoBack"/>
      <w:bookmarkEnd w:id="2"/>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年“三公”经费财政拨款预算数0万元，其中：因公出国（境）经费0万元，公务接待费0万元，公务用车购置及运行维护费0万元。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（一）因公出国（境）经费较202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w:t>
      </w:r>
      <w:r>
        <w:rPr>
          <w:rFonts w:hint="eastAsia" w:cs="宋体" w:asciiTheme="minorEastAsia" w:hAnsiTheme="minorEastAsia"/>
          <w:b/>
          <w:bCs/>
          <w:color w:val="0D0D0D" w:themeColor="text1" w:themeTint="F2"/>
          <w:kern w:val="0"/>
          <w:sz w:val="28"/>
          <w:szCs w:val="28"/>
          <w:u w:val="single"/>
          <w14:textFill>
            <w14:solidFill>
              <w14:schemeClr w14:val="tx1">
                <w14:lumMod w14:val="95000"/>
                <w14:lumOff w14:val="5000"/>
              </w14:schemeClr>
            </w14:solidFill>
          </w14:textFill>
        </w:rPr>
        <w:t>增长0</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年和202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年预算中无因公出国（境）经费财政拨款。</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（二）公务接待费较202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 </w:t>
      </w:r>
      <w:r>
        <w:rPr>
          <w:rFonts w:hint="eastAsia" w:cs="宋体" w:asciiTheme="minorEastAsia" w:hAnsiTheme="minorEastAsia"/>
          <w:b/>
          <w:bCs/>
          <w:color w:val="0D0D0D" w:themeColor="text1" w:themeTint="F2"/>
          <w:kern w:val="0"/>
          <w:sz w:val="28"/>
          <w:szCs w:val="28"/>
          <w:u w:val="single"/>
          <w14:textFill>
            <w14:solidFill>
              <w14:schemeClr w14:val="tx1">
                <w14:lumMod w14:val="95000"/>
                <w14:lumOff w14:val="5000"/>
              </w14:schemeClr>
            </w14:solidFill>
          </w14:textFill>
        </w:rPr>
        <w:t>增长0</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年和202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年预算中无公务接待费财政拨款。</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（三）公务用车购置及运行维护费较202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w:t>
      </w:r>
      <w:r>
        <w:rPr>
          <w:rFonts w:hint="eastAsia" w:cs="宋体" w:asciiTheme="minorEastAsia" w:hAnsiTheme="minorEastAsia"/>
          <w:b/>
          <w:bCs/>
          <w:color w:val="0D0D0D" w:themeColor="text1" w:themeTint="F2"/>
          <w:kern w:val="0"/>
          <w:sz w:val="28"/>
          <w:szCs w:val="28"/>
          <w:u w:val="single"/>
          <w14:textFill>
            <w14:solidFill>
              <w14:schemeClr w14:val="tx1">
                <w14:lumMod w14:val="95000"/>
                <w14:lumOff w14:val="5000"/>
              </w14:schemeClr>
            </w14:solidFill>
          </w14:textFill>
        </w:rPr>
        <w:t>增长</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0%。</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部门现有公务用车0辆，其中：轿车0辆，旅行车（含商务车）0辆，越野车0辆，大型客、货车0辆。</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年未安排公务用车购置费。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年安排公务用车运行维护费0元。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八、“会议费”、“培训费”、“差旅费”财政拨款预算安排情况说明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年“会议费”、“培训费”、“差旅费”财政拨款预算数0元，其中：会议费0元，培训费0元，差旅费0元。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（一）会议费较202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年预算增长0%。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主要原因是明月小学2021、2022年均无会议费。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（二）培训费较202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年预算增长0%。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主要原因是明月小学2021、2022年均无培训费。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（三）差旅费较202</w:t>
      </w:r>
      <w:r>
        <w:rPr>
          <w:rFonts w:hint="eastAsia" w:cs="宋体" w:asciiTheme="minorEastAsia" w:hAnsiTheme="minorEastAsia"/>
          <w:b/>
          <w:bCs/>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年预算增长0%。</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主要原因是明月小学2021、2022年均无差旅费。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九、政府性基金预算支出情况说明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年政府性基金预算支出0元。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年没有使用政府性基金预算拨款安排的支出。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十、国有资本经营预算支出情况说明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年国有资本经营预算支出0元。</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年没有使用国有资本经营预算拨款安排的支出。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十一、其他重要事项的情况说明</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（一）机关运行经费</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年，明月小学的机关运行经费财政拨款预算为0元，较202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年预算</w:t>
      </w:r>
      <w:r>
        <w:rPr>
          <w:rFonts w:hint="eastAsia" w:cs="宋体" w:asciiTheme="minorEastAsia" w:hAnsiTheme="minorEastAsia"/>
          <w:color w:val="0D0D0D" w:themeColor="text1" w:themeTint="F2"/>
          <w:kern w:val="0"/>
          <w:sz w:val="28"/>
          <w:szCs w:val="28"/>
          <w:u w:val="single"/>
          <w:shd w:val="clear" w:color="auto" w:fill="FFFFFF"/>
          <w14:textFill>
            <w14:solidFill>
              <w14:schemeClr w14:val="tx1">
                <w14:lumMod w14:val="95000"/>
                <w14:lumOff w14:val="5000"/>
              </w14:schemeClr>
            </w14:solidFill>
          </w14:textFill>
        </w:rPr>
        <w:t>增加</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0元，</w:t>
      </w:r>
      <w:r>
        <w:rPr>
          <w:rFonts w:hint="eastAsia" w:cs="宋体" w:asciiTheme="minorEastAsia" w:hAnsiTheme="minorEastAsia"/>
          <w:color w:val="0D0D0D" w:themeColor="text1" w:themeTint="F2"/>
          <w:kern w:val="0"/>
          <w:sz w:val="28"/>
          <w:szCs w:val="28"/>
          <w:u w:val="single"/>
          <w:shd w:val="clear" w:color="auto" w:fill="FFFFFF"/>
          <w14:textFill>
            <w14:solidFill>
              <w14:schemeClr w14:val="tx1">
                <w14:lumMod w14:val="95000"/>
                <w14:lumOff w14:val="5000"/>
              </w14:schemeClr>
            </w14:solidFill>
          </w14:textFill>
        </w:rPr>
        <w:t>增长</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0%。</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highlight w:val="none"/>
          <w14:textFill>
            <w14:solidFill>
              <w14:schemeClr w14:val="tx1">
                <w14:lumMod w14:val="95000"/>
                <w14:lumOff w14:val="5000"/>
              </w14:schemeClr>
            </w14:solidFill>
          </w14:textFill>
        </w:rPr>
        <w:t>（二）政府采购情况</w:t>
      </w:r>
      <w:r>
        <w:rPr>
          <w:rFonts w:hint="eastAsia" w:cs="宋体" w:asciiTheme="minorEastAsia" w:hAnsiTheme="minorEastAsia"/>
          <w:color w:val="0D0D0D" w:themeColor="text1" w:themeTint="F2"/>
          <w:kern w:val="0"/>
          <w:sz w:val="28"/>
          <w:szCs w:val="28"/>
          <w:highlight w:val="none"/>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highlight w:val="none"/>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highlight w:val="none"/>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highlight w:val="none"/>
          <w:shd w:val="clear" w:color="auto" w:fill="FFFFFF"/>
          <w14:textFill>
            <w14:solidFill>
              <w14:schemeClr w14:val="tx1">
                <w14:lumMod w14:val="95000"/>
                <w14:lumOff w14:val="5000"/>
              </w14:schemeClr>
            </w14:solidFill>
          </w14:textFill>
        </w:rPr>
        <w:t>年，明月小学无政府采购项目，未安排政府采购预算。</w:t>
      </w:r>
    </w:p>
    <w:p w14:paraId="64E7FE5E">
      <w:pPr>
        <w:widowControl/>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（三）国有资产占有使用情况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截至202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年底，明月小学所属各预算单位共有车辆0辆，其中，地厅级领导干部用车0辆、定向保障用车0辆、执法执勤用车0辆。单位价值200万元以上大型设备0台（套）。</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5</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年部门预算安排车辆购置经费0元。其中，财政拨款预算安排0元，非财政拨款安排0元。购置地厅级领导干部用车0辆、定向保障用车0辆、执法执勤用车0辆。安排大型设备购置经费0元，购置0大型设备0台（套）。</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（四）绩效目标设置情况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绩效目标是预算编制的前提和基础，按照“费随事定”的原则，202</w:t>
      </w:r>
      <w:r>
        <w:rPr>
          <w:rFonts w:hint="eastAsia" w:cs="宋体" w:asciiTheme="minorEastAsia" w:hAnsiTheme="minorEastAsia"/>
          <w:color w:val="0D0D0D" w:themeColor="text1" w:themeTint="F2"/>
          <w:kern w:val="0"/>
          <w:sz w:val="28"/>
          <w:szCs w:val="28"/>
          <w:shd w:val="clear" w:color="auto" w:fill="FFFFFF"/>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年明月小学全部项目按要求编制了绩效目标，从项目完成、项目效益、满意度等方面设置了绩效指标，综合反映项目预期完成的数量、成本、时效、质量，预期达到的社会效益、经济效益、生态效益、可持续影响以及服务对象满意度等情况。</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color w:val="0D0D0D" w:themeColor="text1" w:themeTint="F2"/>
          <w:kern w:val="0"/>
          <w:sz w:val="28"/>
          <w:szCs w:val="28"/>
          <w:shd w:val="clear" w:color="auto" w:fill="FFFFFF"/>
          <w14:textFill>
            <w14:solidFill>
              <w14:schemeClr w14:val="tx1">
                <w14:lumMod w14:val="95000"/>
                <w14:lumOff w14:val="5000"/>
              </w14:schemeClr>
            </w14:solidFill>
          </w14:textFill>
        </w:rPr>
        <w:t>十二、名词解释</w:t>
      </w:r>
      <w:r>
        <w:rPr>
          <w:rFonts w:hint="eastAsia" w:cs="宋体" w:asciiTheme="minorEastAsia" w:hAnsiTheme="minorEastAsia"/>
          <w:b/>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1.一般公共预算拨款收入：指市本级财政当年拨付的资金。 </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2.</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事业收入：指事业单位开展专业业务活动及辅助活动所取得的收入。主要为学校根据国家有关部门批准的项目和标准收取的学费、住宿费等。</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b/>
          <w:bCs/>
          <w:color w:val="0D0D0D" w:themeColor="text1" w:themeTint="F2"/>
          <w:kern w:val="0"/>
          <w:sz w:val="28"/>
          <w:szCs w:val="28"/>
          <w14:textFill>
            <w14:solidFill>
              <w14:schemeClr w14:val="tx1">
                <w14:lumMod w14:val="95000"/>
                <w14:lumOff w14:val="5000"/>
              </w14:schemeClr>
            </w14:solidFill>
          </w14:textFill>
        </w:rPr>
        <w:t>3.</w:t>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其他收入：指除上述“财政拨款收入”、“事业收入”、“事业单位经营收入”等以外的收入。主要是横向科研收入、捐赠收入、利息收入等。</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4. 上年结转：指以前年度尚未完成，结转到本年仍按原规定用途继续使用的资金。</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5. 基本支出：指为保证机构正常运转，完成日常工作任务而发生的人员支出和公用支出。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6.项目支出：指在基本支出之外为完成特定行政任务和事业发展目标所发生的支出。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7.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附：</w:t>
      </w:r>
    </w:p>
    <w:p w14:paraId="6F2544C0">
      <w:pPr>
        <w:widowControl/>
        <w:shd w:val="clear" w:color="auto" w:fill="FFFFFF"/>
        <w:jc w:val="left"/>
        <w:rPr>
          <w:rFonts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t>明月小学202</w:t>
      </w:r>
      <w:r>
        <w:rPr>
          <w:rFonts w:hint="eastAsia" w:cs="宋体" w:asciiTheme="minorEastAsia" w:hAnsiTheme="minorEastAsia"/>
          <w:color w:val="0D0D0D" w:themeColor="text1" w:themeTint="F2"/>
          <w:kern w:val="0"/>
          <w:sz w:val="28"/>
          <w:szCs w:val="28"/>
          <w:lang w:val="en-US" w:eastAsia="zh-CN"/>
          <w14:textFill>
            <w14:solidFill>
              <w14:schemeClr w14:val="tx1">
                <w14:lumMod w14:val="95000"/>
                <w14:lumOff w14:val="5000"/>
              </w14:schemeClr>
            </w14:solidFill>
          </w14:textFill>
        </w:rPr>
        <w:t>4</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t>年预算公开表</w:t>
      </w:r>
    </w:p>
    <w:p w14:paraId="4CD6CFD0">
      <w:pPr>
        <w:rPr>
          <w:rFonts w:asciiTheme="minorEastAsia" w:hAnsiTheme="minorEastAsia"/>
          <w:color w:val="0D0D0D" w:themeColor="text1" w:themeTint="F2"/>
          <w:sz w:val="28"/>
          <w:szCs w:val="28"/>
          <w14:textFill>
            <w14:solidFill>
              <w14:schemeClr w14:val="tx1">
                <w14:lumMod w14:val="95000"/>
                <w14:lumOff w14:val="5000"/>
              </w14:schemeClr>
            </w14:solidFill>
          </w14:textFill>
        </w:rPr>
      </w:pP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表1. 部门收支总表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表2 部门收入总表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表3 部门支出总表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表4. 财政拨款收支预算总表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表5. 财政拨款支出预算表（政府经济分类科目）</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表6一般公共预算支出预算表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表7. 一般公共预算基本支出预算表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表8. 一般公共预算项目支出预算表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r>
        <w:rPr>
          <w:rFonts w:hint="eastAsia" w:cs="宋体" w:asciiTheme="minorEastAsia" w:hAnsiTheme="minorEastAsia"/>
          <w:color w:val="0D0D0D" w:themeColor="text1" w:themeTint="F2"/>
          <w:kern w:val="0"/>
          <w:sz w:val="28"/>
          <w:szCs w:val="28"/>
          <w:shd w:val="clear" w:color="auto" w:fill="FFFFFF"/>
          <w14:textFill>
            <w14:solidFill>
              <w14:schemeClr w14:val="tx1">
                <w14:lumMod w14:val="95000"/>
                <w14:lumOff w14:val="5000"/>
              </w14:schemeClr>
            </w14:solidFill>
          </w14:textFill>
        </w:rPr>
        <w:t>表9. 一般公共预算“三公”经费支出预算表</w:t>
      </w:r>
      <w:r>
        <w:rPr>
          <w:rFonts w:hint="eastAsia" w:cs="宋体" w:asciiTheme="minorEastAsia" w:hAnsiTheme="minorEastAsia"/>
          <w:color w:val="0D0D0D" w:themeColor="text1" w:themeTint="F2"/>
          <w:kern w:val="0"/>
          <w:sz w:val="28"/>
          <w:szCs w:val="28"/>
          <w14:textFill>
            <w14:solidFill>
              <w14:schemeClr w14:val="tx1">
                <w14:lumMod w14:val="95000"/>
                <w14:lumOff w14:val="5000"/>
              </w14:schemeClr>
            </w14:solidFill>
          </w14:textFill>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34051"/>
    <w:multiLevelType w:val="multilevel"/>
    <w:tmpl w:val="68834051"/>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UxMWZkNDU2MjNmNTRkYTY2NmZlYjgyZGE1MTIifQ=="/>
  </w:docVars>
  <w:rsids>
    <w:rsidRoot w:val="00A25AED"/>
    <w:rsid w:val="000032F8"/>
    <w:rsid w:val="00016E87"/>
    <w:rsid w:val="00070B7F"/>
    <w:rsid w:val="00086357"/>
    <w:rsid w:val="00096F7D"/>
    <w:rsid w:val="00141953"/>
    <w:rsid w:val="001B364A"/>
    <w:rsid w:val="00242FE4"/>
    <w:rsid w:val="0028652E"/>
    <w:rsid w:val="00297E4C"/>
    <w:rsid w:val="002E111E"/>
    <w:rsid w:val="003053EF"/>
    <w:rsid w:val="0034260B"/>
    <w:rsid w:val="003431A4"/>
    <w:rsid w:val="0034673B"/>
    <w:rsid w:val="00377AB1"/>
    <w:rsid w:val="00425F77"/>
    <w:rsid w:val="00442474"/>
    <w:rsid w:val="004569F5"/>
    <w:rsid w:val="004957EC"/>
    <w:rsid w:val="004C195B"/>
    <w:rsid w:val="004C204D"/>
    <w:rsid w:val="00500A95"/>
    <w:rsid w:val="005F5A4F"/>
    <w:rsid w:val="00615597"/>
    <w:rsid w:val="006C5C7E"/>
    <w:rsid w:val="006D0269"/>
    <w:rsid w:val="006D5BF8"/>
    <w:rsid w:val="00743D02"/>
    <w:rsid w:val="007E58C2"/>
    <w:rsid w:val="0084385D"/>
    <w:rsid w:val="00844781"/>
    <w:rsid w:val="00855F8D"/>
    <w:rsid w:val="008A1890"/>
    <w:rsid w:val="009207E5"/>
    <w:rsid w:val="009572F5"/>
    <w:rsid w:val="00971DFA"/>
    <w:rsid w:val="009833A3"/>
    <w:rsid w:val="009B0735"/>
    <w:rsid w:val="009C4D0B"/>
    <w:rsid w:val="00A1784D"/>
    <w:rsid w:val="00A25AED"/>
    <w:rsid w:val="00A62119"/>
    <w:rsid w:val="00AC56C6"/>
    <w:rsid w:val="00AD0794"/>
    <w:rsid w:val="00AD3D42"/>
    <w:rsid w:val="00AE1415"/>
    <w:rsid w:val="00AE4799"/>
    <w:rsid w:val="00AF1E18"/>
    <w:rsid w:val="00AF5C72"/>
    <w:rsid w:val="00BF2E8E"/>
    <w:rsid w:val="00C0122B"/>
    <w:rsid w:val="00C23FFE"/>
    <w:rsid w:val="00C67EDE"/>
    <w:rsid w:val="00CA37E2"/>
    <w:rsid w:val="00CA65CB"/>
    <w:rsid w:val="00D41EF4"/>
    <w:rsid w:val="00D65AB9"/>
    <w:rsid w:val="00D90CA3"/>
    <w:rsid w:val="00E361B4"/>
    <w:rsid w:val="00E46803"/>
    <w:rsid w:val="00E73158"/>
    <w:rsid w:val="00EB6EA2"/>
    <w:rsid w:val="00F56F9C"/>
    <w:rsid w:val="00F94369"/>
    <w:rsid w:val="00FE2BEE"/>
    <w:rsid w:val="16EA17FE"/>
    <w:rsid w:val="2B0513A0"/>
    <w:rsid w:val="3D856A51"/>
    <w:rsid w:val="48F700AA"/>
    <w:rsid w:val="5D9E4CA9"/>
    <w:rsid w:val="6BBA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遂宁经济技术开发区明月小学校</Company>
  <Pages>9</Pages>
  <Words>3433</Words>
  <Characters>3785</Characters>
  <Lines>28</Lines>
  <Paragraphs>7</Paragraphs>
  <TotalTime>44</TotalTime>
  <ScaleCrop>false</ScaleCrop>
  <LinksUpToDate>false</LinksUpToDate>
  <CharactersWithSpaces>3813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2023-09-07T08:41:00Z</dcterms:created>
  <dc:creator>123</dc:creator>
  <cp:lastModifiedBy>悦陌</cp:lastModifiedBy>
  <cp:lastPrinted>2023-09-07T08:49:00Z</cp:lastPrinted>
  <dcterms:modified xsi:type="dcterms:W3CDTF">2025-07-17T06:58:02Z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EC553CDDC44D42F396E4EE54664C3F5E_13</vt:lpwstr>
  </property>
  <property fmtid="{D5CDD505-2E9C-101B-9397-08002B2CF9AE}" pid="4" name="KSOTemplateDocerSaveRecord">
    <vt:lpwstr>eyJoZGlkIjoiMDFlODUxMWZkNDU2MjNmNTRkYTY2NmZlYjgyZGE1MTIiLCJ1c2VySWQiOiI2MDUzOTg0MzkifQ==</vt:lpwstr>
  </property>
</Properties>
</file>