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方正小标宋简体" w:hAnsi="宋体" w:eastAsia="方正小标宋简体" w:cs="Times New Roman"/>
          <w:color w:val="auto"/>
          <w:kern w:val="2"/>
          <w:sz w:val="44"/>
          <w:szCs w:val="44"/>
          <w:highlight w:val="none"/>
          <w:lang w:val="en-US" w:eastAsia="zh-CN" w:bidi="ar-SA"/>
        </w:rPr>
      </w:pPr>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2023年度四川省遂宁市船山区人民政府</w:t>
      </w:r>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嘉禾街道办事处单位决算</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imes New Roman"/>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4"/>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pPr>
        <w:pStyle w:val="14"/>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pPr>
        <w:pStyle w:val="11"/>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p>
    <w:p>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p>
    <w:p>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p>
    <w:p>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p>
    <w:p>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p>
    <w:p>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p>
    <w:p>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p>
    <w:p>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pPr>
        <w:pStyle w:val="14"/>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pPr>
        <w:pStyle w:val="11"/>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1"/>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1"/>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rPr>
          <w:rStyle w:val="1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8"/>
          <w:rFonts w:hint="eastAsia" w:ascii="黑体" w:hAnsi="黑体" w:eastAsia="黑体"/>
          <w:b w:val="0"/>
          <w:bCs w:val="0"/>
          <w:color w:val="auto"/>
          <w:highlight w:val="none"/>
        </w:rPr>
        <w:t>概况</w:t>
      </w:r>
    </w:p>
    <w:p>
      <w:pPr>
        <w:widowControl/>
        <w:jc w:val="left"/>
        <w:rPr>
          <w:rFonts w:ascii="黑体" w:eastAsia="黑体"/>
          <w:color w:val="auto"/>
          <w:sz w:val="32"/>
          <w:szCs w:val="32"/>
          <w:highlight w:val="none"/>
        </w:rPr>
      </w:pPr>
    </w:p>
    <w:p>
      <w:pPr>
        <w:pStyle w:val="4"/>
        <w:numPr>
          <w:ilvl w:val="0"/>
          <w:numId w:val="1"/>
        </w:numPr>
        <w:rPr>
          <w:rStyle w:val="19"/>
          <w:rFonts w:hint="eastAsia" w:ascii="黑体" w:hAnsi="黑体" w:eastAsia="黑体"/>
          <w:b w:val="0"/>
          <w:bCs w:val="0"/>
          <w:color w:val="auto"/>
          <w:highlight w:val="none"/>
          <w:lang w:eastAsia="zh-CN"/>
        </w:rPr>
      </w:pPr>
      <w:r>
        <w:rPr>
          <w:rStyle w:val="19"/>
          <w:rFonts w:hint="eastAsia" w:ascii="黑体" w:hAnsi="黑体" w:eastAsia="黑体"/>
          <w:b w:val="0"/>
          <w:bCs w:val="0"/>
          <w:color w:val="auto"/>
          <w:highlight w:val="none"/>
          <w:lang w:eastAsia="zh-CN"/>
        </w:rPr>
        <w:t>主要职责</w:t>
      </w:r>
    </w:p>
    <w:p>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cs="仿宋"/>
          <w:sz w:val="32"/>
          <w:szCs w:val="32"/>
          <w:lang w:val="en-US" w:eastAsia="zh-CN"/>
        </w:rPr>
        <w:t>嘉禾办事处主要职能是贯彻执行党和国家的路线、方针、政策、法律、法规和上级的决定、命令、指示，完成上级部署的各项任务；负责辖区内民政、劳动保障、人口计生、城市管理、环境秩序、综治、信访、维稳、安全、应急、教育、文化、卫生、统计等管理和服务；搞好本辖区内精神文明建设、普法教育、维护老人和妇女儿童的合法权益；指导社区居民委员会的工作；协助武装部门做好国防动员、民兵训练和公民服兵役工作；做好征地和房屋拆迁、森林防火、防汛、防风、防旱、防震、抢险救灾等工作。</w:t>
      </w:r>
    </w:p>
    <w:p>
      <w:pPr>
        <w:rPr>
          <w:rFonts w:hint="eastAsia"/>
          <w:lang w:eastAsia="zh-CN"/>
        </w:rPr>
      </w:pPr>
    </w:p>
    <w:p>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pPr>
        <w:widowControl/>
        <w:jc w:val="left"/>
        <w:rPr>
          <w:rFonts w:hint="eastAsia" w:ascii="Times New Roman" w:hAnsi="Times New Roman" w:eastAsia="仿宋" w:cs="Times New Roman"/>
          <w:b/>
          <w:bCs/>
          <w:sz w:val="32"/>
          <w:szCs w:val="32"/>
          <w:highlight w:val="none"/>
          <w:lang w:eastAsia="zh-CN"/>
        </w:rPr>
      </w:pPr>
      <w:r>
        <w:rPr>
          <w:rFonts w:hint="eastAsia" w:ascii="楷体" w:hAnsi="楷体" w:eastAsia="楷体" w:cs="楷体"/>
          <w:b w:val="0"/>
          <w:bCs w:val="0"/>
          <w:sz w:val="32"/>
          <w:szCs w:val="32"/>
          <w:highlight w:val="none"/>
          <w:lang w:eastAsia="zh-CN"/>
        </w:rPr>
        <w:t>（一）</w:t>
      </w:r>
      <w:r>
        <w:rPr>
          <w:rFonts w:hint="eastAsia" w:ascii="Times New Roman" w:hAnsi="Times New Roman" w:eastAsia="仿宋" w:cs="Times New Roman"/>
          <w:b/>
          <w:bCs/>
          <w:sz w:val="32"/>
          <w:szCs w:val="32"/>
          <w:highlight w:val="none"/>
          <w:lang w:eastAsia="zh-CN"/>
        </w:rPr>
        <w:t>党建办公室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 w:cs="Times New Roman"/>
          <w:b w:val="0"/>
          <w:bCs w:val="0"/>
          <w:sz w:val="32"/>
          <w:szCs w:val="32"/>
          <w:highlight w:val="none"/>
          <w:lang w:val="en-US" w:eastAsia="zh-CN"/>
        </w:rPr>
      </w:pPr>
      <w:r>
        <w:rPr>
          <w:rFonts w:hint="eastAsia" w:ascii="Times New Roman" w:hAnsi="Times New Roman" w:eastAsia="仿宋" w:cs="Times New Roman"/>
          <w:b w:val="0"/>
          <w:bCs w:val="0"/>
          <w:sz w:val="32"/>
          <w:szCs w:val="32"/>
          <w:highlight w:val="none"/>
          <w:lang w:val="en-US" w:eastAsia="zh-CN"/>
        </w:rPr>
        <w:t>具体负责党政事务、党建、城乡基层治理、宣传、意识形态、组织人事、机构编制、党务公开、政务公开、队伍建设、思想政治、党史研究、机要保密、老干部、机关事务、印章管理、综合协调、公文处理、12345政府服务热线；做好机关党支部工作。统计工作；负责国民经济和社会发展、工业经济、商务、服务业、督查督办、年度目标管理、每日要情上报、等工作。</w:t>
      </w:r>
    </w:p>
    <w:p>
      <w:pPr>
        <w:pStyle w:val="2"/>
        <w:numPr>
          <w:ilvl w:val="0"/>
          <w:numId w:val="0"/>
        </w:numPr>
        <w:ind w:leftChars="0"/>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（二）社会事务办公室</w:t>
      </w:r>
    </w:p>
    <w:p>
      <w:pPr>
        <w:pStyle w:val="2"/>
        <w:numPr>
          <w:ilvl w:val="0"/>
          <w:numId w:val="0"/>
        </w:numPr>
        <w:ind w:leftChars="0" w:firstLine="640" w:firstLineChars="200"/>
        <w:rPr>
          <w:rFonts w:hint="eastAsia" w:ascii="Times New Roman" w:hAnsi="Times New Roman" w:eastAsia="仿宋" w:cs="Times New Roman"/>
          <w:b w:val="0"/>
          <w:bCs w:val="0"/>
          <w:sz w:val="32"/>
          <w:szCs w:val="32"/>
          <w:highlight w:val="none"/>
          <w:lang w:val="en-US" w:eastAsia="zh-CN"/>
        </w:rPr>
      </w:pPr>
      <w:r>
        <w:rPr>
          <w:rFonts w:hint="eastAsia" w:ascii="Times New Roman" w:hAnsi="Times New Roman" w:eastAsia="仿宋" w:cs="Times New Roman"/>
          <w:b w:val="0"/>
          <w:bCs w:val="0"/>
          <w:sz w:val="32"/>
          <w:szCs w:val="32"/>
          <w:highlight w:val="none"/>
          <w:lang w:val="en-US" w:eastAsia="zh-CN"/>
        </w:rPr>
        <w:t>具体负责</w:t>
      </w:r>
      <w:r>
        <w:rPr>
          <w:rFonts w:hint="eastAsia" w:ascii="Times New Roman" w:hAnsi="Times New Roman" w:eastAsia="仿宋" w:cs="Times New Roman"/>
          <w:b w:val="0"/>
          <w:bCs w:val="0"/>
          <w:color w:val="auto"/>
          <w:sz w:val="32"/>
          <w:szCs w:val="32"/>
          <w:highlight w:val="none"/>
          <w:lang w:val="en-US" w:eastAsia="zh-CN"/>
        </w:rPr>
        <w:t>关工委、</w:t>
      </w:r>
      <w:r>
        <w:rPr>
          <w:rFonts w:hint="eastAsia" w:ascii="Times New Roman" w:hAnsi="Times New Roman" w:eastAsia="仿宋" w:cs="Times New Roman"/>
          <w:b w:val="0"/>
          <w:bCs w:val="0"/>
          <w:sz w:val="32"/>
          <w:szCs w:val="32"/>
          <w:highlight w:val="none"/>
          <w:lang w:val="en-US" w:eastAsia="zh-CN"/>
        </w:rPr>
        <w:t>民政、劳动保障、城乡居民医疗保障、城乡居民养老保险、残联、退役军人事务、民族宗教、志愿服务、卫生健康、计划生育、无偿献血等工作。</w:t>
      </w:r>
    </w:p>
    <w:p>
      <w:pPr>
        <w:pStyle w:val="2"/>
        <w:numPr>
          <w:ilvl w:val="0"/>
          <w:numId w:val="2"/>
        </w:numPr>
        <w:ind w:left="0" w:leftChars="0" w:firstLine="0" w:firstLineChars="0"/>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社会治理和应急管理办公室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 w:cs="Times New Roman"/>
          <w:b w:val="0"/>
          <w:bCs w:val="0"/>
          <w:sz w:val="32"/>
          <w:szCs w:val="32"/>
          <w:highlight w:val="none"/>
        </w:rPr>
      </w:pPr>
      <w:r>
        <w:rPr>
          <w:rFonts w:hint="eastAsia" w:ascii="Times New Roman" w:hAnsi="Times New Roman" w:eastAsia="仿宋" w:cs="Times New Roman"/>
          <w:b w:val="0"/>
          <w:bCs w:val="0"/>
          <w:sz w:val="32"/>
          <w:szCs w:val="32"/>
          <w:highlight w:val="none"/>
          <w:lang w:val="en-US" w:eastAsia="zh-CN"/>
        </w:rPr>
        <w:t>负责依法治理、综治、信访、稳定、防邪、扫黑除恶、矛盾纠纷多元化调解、妇联、网格化服务管理、安全社区创建、应急管理和处置。贯彻执行食品安全监督管理，宣传贯彻安全生产有关法律、法规、政策，安全生产综合监督和打非治违等工作。</w:t>
      </w:r>
    </w:p>
    <w:p>
      <w:pPr>
        <w:pStyle w:val="2"/>
        <w:numPr>
          <w:ilvl w:val="0"/>
          <w:numId w:val="2"/>
        </w:numPr>
        <w:ind w:left="0" w:leftChars="0" w:firstLine="0" w:firstLineChars="0"/>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eastAsia="zh-CN"/>
        </w:rPr>
        <w:t>城市管理办公室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 w:cs="Times New Roman"/>
          <w:b w:val="0"/>
          <w:bCs w:val="0"/>
          <w:sz w:val="32"/>
          <w:szCs w:val="32"/>
          <w:highlight w:val="none"/>
          <w:lang w:val="en-US" w:eastAsia="zh-CN"/>
        </w:rPr>
      </w:pPr>
      <w:r>
        <w:rPr>
          <w:rFonts w:hint="eastAsia" w:ascii="Times New Roman" w:hAnsi="Times New Roman" w:eastAsia="仿宋" w:cs="Times New Roman"/>
          <w:b w:val="0"/>
          <w:bCs w:val="0"/>
          <w:sz w:val="32"/>
          <w:szCs w:val="32"/>
          <w:highlight w:val="none"/>
          <w:lang w:val="en-US" w:eastAsia="zh-CN"/>
        </w:rPr>
        <w:t>负责统筹协调城市管理城乡环境综合治理及市容市貌维护管理、交通、</w:t>
      </w:r>
      <w:r>
        <w:rPr>
          <w:rFonts w:hint="eastAsia" w:ascii="Times New Roman" w:hAnsi="Times New Roman" w:eastAsia="仿宋" w:cs="Times New Roman"/>
          <w:b w:val="0"/>
          <w:bCs w:val="0"/>
          <w:color w:val="auto"/>
          <w:sz w:val="32"/>
          <w:szCs w:val="32"/>
          <w:highlight w:val="none"/>
          <w:lang w:val="en-US" w:eastAsia="zh-CN"/>
        </w:rPr>
        <w:t>交通安全，</w:t>
      </w:r>
      <w:r>
        <w:rPr>
          <w:rFonts w:hint="eastAsia" w:ascii="Times New Roman" w:hAnsi="Times New Roman" w:eastAsia="仿宋" w:cs="Times New Roman"/>
          <w:b w:val="0"/>
          <w:bCs w:val="0"/>
          <w:sz w:val="32"/>
          <w:szCs w:val="32"/>
          <w:highlight w:val="none"/>
          <w:lang w:val="en-US" w:eastAsia="zh-CN"/>
        </w:rPr>
        <w:t>做好城市创建、国卫复审、</w:t>
      </w:r>
      <w:r>
        <w:rPr>
          <w:rFonts w:hint="eastAsia" w:ascii="Times New Roman" w:hAnsi="Times New Roman" w:eastAsia="仿宋" w:cs="Times New Roman"/>
          <w:b w:val="0"/>
          <w:bCs w:val="0"/>
          <w:color w:val="auto"/>
          <w:sz w:val="32"/>
          <w:szCs w:val="32"/>
          <w:highlight w:val="none"/>
          <w:lang w:val="en-US" w:eastAsia="zh-CN"/>
        </w:rPr>
        <w:t>城管执法、</w:t>
      </w:r>
      <w:r>
        <w:rPr>
          <w:rFonts w:hint="eastAsia" w:ascii="Times New Roman" w:hAnsi="Times New Roman" w:eastAsia="仿宋" w:cs="Times New Roman"/>
          <w:b w:val="0"/>
          <w:bCs w:val="0"/>
          <w:sz w:val="32"/>
          <w:szCs w:val="32"/>
          <w:highlight w:val="none"/>
          <w:lang w:val="en-US" w:eastAsia="zh-CN"/>
        </w:rPr>
        <w:t>住房城乡建设、市政设施维护管理、市政绿化、林业、畜牧等综合性工作；负责做好建设规划、建筑质量安全监督、房屋管理、小区物业管理和特种设备等相关工作。老旧小区改造具体工作；农贸市场管理；纪工委等工作。</w:t>
      </w:r>
    </w:p>
    <w:p>
      <w:pPr>
        <w:pStyle w:val="2"/>
        <w:numPr>
          <w:ilvl w:val="0"/>
          <w:numId w:val="2"/>
        </w:numPr>
        <w:ind w:left="0" w:leftChars="0" w:firstLine="0" w:firstLineChars="0"/>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财政工作办公室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 w:cs="Times New Roman"/>
          <w:b w:val="0"/>
          <w:bCs w:val="0"/>
          <w:sz w:val="32"/>
          <w:szCs w:val="32"/>
          <w:highlight w:val="none"/>
        </w:rPr>
      </w:pPr>
      <w:r>
        <w:rPr>
          <w:rFonts w:hint="eastAsia" w:ascii="Times New Roman" w:hAnsi="Times New Roman" w:eastAsia="仿宋" w:cs="Times New Roman"/>
          <w:b w:val="0"/>
          <w:bCs w:val="0"/>
          <w:sz w:val="32"/>
          <w:szCs w:val="32"/>
          <w:highlight w:val="none"/>
        </w:rPr>
        <w:t>负责贯彻党和国家财经方针政策，管理指导财政所严格按照财政法规和财经制度开展办事处日常财务工作；组织和管理街道办事处财政收入和支出，编制并执行年度预决算；集体资产及社区财务管理指导；协税护税、社区经费等工作；街道财政专项资金的管理；管理街道行政事业单位和其他组织的预算外资金。</w:t>
      </w:r>
    </w:p>
    <w:p>
      <w:pPr>
        <w:pStyle w:val="2"/>
        <w:numPr>
          <w:ilvl w:val="0"/>
          <w:numId w:val="2"/>
        </w:numPr>
        <w:ind w:left="0" w:leftChars="0" w:firstLine="0" w:firstLineChars="0"/>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社区事务和便民服务中心</w:t>
      </w:r>
    </w:p>
    <w:p>
      <w:pPr>
        <w:pStyle w:val="2"/>
        <w:numPr>
          <w:ilvl w:val="0"/>
          <w:numId w:val="0"/>
        </w:numPr>
        <w:snapToGrid w:val="0"/>
        <w:spacing w:line="520" w:lineRule="exact"/>
        <w:ind w:firstLine="960" w:firstLineChars="300"/>
        <w:rPr>
          <w:rFonts w:hint="default" w:ascii="仿宋_GB2312" w:hAnsi="仿宋" w:eastAsia="仿宋_GB2312"/>
          <w:sz w:val="32"/>
          <w:szCs w:val="32"/>
          <w:lang w:val="en-US" w:eastAsia="zh-CN"/>
        </w:rPr>
      </w:pPr>
      <w:r>
        <w:rPr>
          <w:rFonts w:hint="eastAsia" w:ascii="Times New Roman" w:hAnsi="Times New Roman" w:eastAsia="仿宋" w:cs="Times New Roman"/>
          <w:b w:val="0"/>
          <w:bCs w:val="0"/>
          <w:sz w:val="32"/>
          <w:szCs w:val="32"/>
          <w:highlight w:val="none"/>
          <w:lang w:val="en-US" w:eastAsia="zh-CN"/>
        </w:rPr>
        <w:t>负责社区事务和便民服务中心全面工作，与社会事务办合并办公。</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18"/>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18"/>
          <w:rFonts w:hint="eastAsia" w:ascii="黑体" w:hAnsi="黑体" w:eastAsia="黑体"/>
          <w:b w:val="0"/>
          <w:bCs/>
          <w:color w:val="auto"/>
          <w:highlight w:val="none"/>
          <w:lang w:eastAsia="zh-CN"/>
        </w:rPr>
        <w:t>单位</w:t>
      </w:r>
      <w:r>
        <w:rPr>
          <w:rStyle w:val="18"/>
          <w:rFonts w:hint="eastAsia" w:ascii="黑体" w:hAnsi="黑体" w:eastAsia="黑体"/>
          <w:b w:val="0"/>
          <w:bCs/>
          <w:color w:val="auto"/>
          <w:highlight w:val="none"/>
        </w:rPr>
        <w:t>决算情况说明</w:t>
      </w:r>
    </w:p>
    <w:p>
      <w:pPr>
        <w:rPr>
          <w:color w:val="auto"/>
          <w:highlight w:val="none"/>
        </w:rPr>
      </w:pPr>
    </w:p>
    <w:p>
      <w:pPr>
        <w:pStyle w:val="23"/>
        <w:numPr>
          <w:ilvl w:val="0"/>
          <w:numId w:val="0"/>
        </w:numPr>
        <w:spacing w:line="600" w:lineRule="exact"/>
        <w:ind w:left="640" w:leftChars="0"/>
        <w:outlineLvl w:val="1"/>
        <w:rPr>
          <w:rStyle w:val="19"/>
          <w:rFonts w:ascii="黑体" w:hAnsi="黑体" w:eastAsia="黑体"/>
          <w:b w:val="0"/>
          <w:color w:val="auto"/>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入支出决算总体情况说明</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1415.03</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257.18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18.17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住房保障、人员经费与重大公共卫生服务项目的减少。</w:t>
      </w:r>
    </w:p>
    <w:p>
      <w:pPr>
        <w:pStyle w:val="2"/>
        <w:rPr>
          <w:rFonts w:hint="eastAsia"/>
          <w:lang w:eastAsia="zh-CN"/>
        </w:rPr>
      </w:pPr>
      <w:r>
        <w:rPr>
          <w:rFonts w:hint="eastAsia"/>
          <w:lang w:eastAsia="zh-CN"/>
        </w:rPr>
        <w:drawing>
          <wp:anchor distT="0" distB="0" distL="114300" distR="114300" simplePos="0" relativeHeight="251659264" behindDoc="0" locked="0" layoutInCell="1" allowOverlap="1">
            <wp:simplePos x="0" y="0"/>
            <wp:positionH relativeFrom="column">
              <wp:posOffset>201930</wp:posOffset>
            </wp:positionH>
            <wp:positionV relativeFrom="paragraph">
              <wp:posOffset>432435</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rPr>
          <w:rFonts w:hint="eastAsia"/>
          <w:lang w:eastAsia="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0"/>
        </w:numPr>
        <w:spacing w:line="600" w:lineRule="exact"/>
        <w:ind w:left="640" w:leftChars="0"/>
        <w:outlineLvl w:val="1"/>
        <w:rPr>
          <w:rStyle w:val="19"/>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入决算情况说明</w:t>
      </w:r>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1415.03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1414.35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99.95</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68580</wp:posOffset>
            </wp:positionH>
            <wp:positionV relativeFrom="paragraph">
              <wp:posOffset>118745</wp:posOffset>
            </wp:positionV>
            <wp:extent cx="5256530" cy="2988310"/>
            <wp:effectExtent l="5080" t="4445" r="1524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3"/>
        <w:numPr>
          <w:ilvl w:val="0"/>
          <w:numId w:val="0"/>
        </w:numPr>
        <w:spacing w:line="600" w:lineRule="exact"/>
        <w:ind w:left="640" w:leftChars="0"/>
        <w:outlineLvl w:val="1"/>
        <w:rPr>
          <w:rStyle w:val="19"/>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9"/>
          <w:rFonts w:hint="eastAsia" w:ascii="黑体" w:hAnsi="黑体" w:eastAsia="黑体"/>
          <w:b w:val="0"/>
          <w:color w:val="auto"/>
          <w:highlight w:val="none"/>
        </w:rPr>
        <w:t>出决算情况说明</w:t>
      </w:r>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1312" behindDoc="0" locked="0" layoutInCell="1" allowOverlap="1">
            <wp:simplePos x="0" y="0"/>
            <wp:positionH relativeFrom="column">
              <wp:posOffset>87630</wp:posOffset>
            </wp:positionH>
            <wp:positionV relativeFrom="paragraph">
              <wp:posOffset>1042670</wp:posOffset>
            </wp:positionV>
            <wp:extent cx="5256530" cy="2988310"/>
            <wp:effectExtent l="5080" t="4445" r="15240" b="1714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1415.03</w:t>
      </w:r>
      <w:r>
        <w:rPr>
          <w:rFonts w:hint="eastAsia" w:ascii="仿宋" w:hAnsi="仿宋" w:eastAsia="仿宋"/>
          <w:color w:val="auto"/>
          <w:sz w:val="32"/>
          <w:szCs w:val="32"/>
          <w:highlight w:val="none"/>
        </w:rPr>
        <w:t>万元，其中：基本支出635.35万元，占</w:t>
      </w:r>
      <w:r>
        <w:rPr>
          <w:rFonts w:hint="eastAsia" w:ascii="仿宋" w:hAnsi="仿宋" w:eastAsia="仿宋"/>
          <w:color w:val="auto"/>
          <w:sz w:val="32"/>
          <w:szCs w:val="32"/>
          <w:highlight w:val="none"/>
          <w:lang w:val="en-US" w:eastAsia="zh-CN"/>
        </w:rPr>
        <w:t>44.9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；项目支出779.68万元，占</w:t>
      </w:r>
      <w:r>
        <w:rPr>
          <w:rFonts w:hint="eastAsia" w:ascii="仿宋" w:hAnsi="仿宋" w:eastAsia="仿宋"/>
          <w:color w:val="auto"/>
          <w:sz w:val="32"/>
          <w:szCs w:val="32"/>
          <w:highlight w:val="none"/>
          <w:lang w:val="en-US" w:eastAsia="zh-CN"/>
        </w:rPr>
        <w:t>55.1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r>
        <w:rPr>
          <w:rFonts w:hint="eastAsia" w:ascii="黑体" w:hAnsi="黑体" w:eastAsia="黑体"/>
          <w:color w:val="auto"/>
          <w:sz w:val="32"/>
          <w:szCs w:val="32"/>
          <w:highlight w:val="none"/>
        </w:rPr>
        <w:t>财</w:t>
      </w:r>
      <w:r>
        <w:rPr>
          <w:rStyle w:val="19"/>
          <w:rFonts w:hint="eastAsia" w:ascii="黑体" w:hAnsi="黑体" w:eastAsia="黑体"/>
          <w:b w:val="0"/>
          <w:color w:val="auto"/>
          <w:highlight w:val="none"/>
        </w:rPr>
        <w:t>政拨款收入支出决算总体情况</w:t>
      </w:r>
      <w:r>
        <w:rPr>
          <w:rFonts w:hint="eastAsia" w:ascii="仿宋" w:hAnsi="仿宋" w:eastAsia="仿宋"/>
          <w:b/>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325755</wp:posOffset>
            </wp:positionH>
            <wp:positionV relativeFrom="paragraph">
              <wp:posOffset>3328670</wp:posOffset>
            </wp:positionV>
            <wp:extent cx="5256530" cy="2988310"/>
            <wp:effectExtent l="5080" t="4445" r="15240" b="1714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19"/>
          <w:rFonts w:ascii="黑体" w:hAnsi="黑体" w:eastAsia="黑体"/>
          <w:b w:val="0"/>
          <w:color w:val="auto"/>
          <w:highlight w:val="none"/>
        </w:rPr>
      </w:pPr>
      <w:r>
        <w:rPr>
          <w:rFonts w:hint="eastAsia" w:ascii="黑体" w:hAnsi="黑体" w:eastAsia="黑体"/>
          <w:color w:val="auto"/>
          <w:sz w:val="32"/>
          <w:szCs w:val="32"/>
          <w:highlight w:val="none"/>
        </w:rPr>
        <w:t>四、财</w:t>
      </w:r>
      <w:r>
        <w:rPr>
          <w:rStyle w:val="19"/>
          <w:rFonts w:hint="eastAsia" w:ascii="黑体" w:hAnsi="黑体" w:eastAsia="黑体"/>
          <w:b w:val="0"/>
          <w:color w:val="auto"/>
          <w:highlight w:val="none"/>
        </w:rPr>
        <w:t>政拨款收入支出决算总体情况说明</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1415.03</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257.18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18.17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住房保障、人员经费与重大公共卫生服务项目的减少。</w:t>
      </w:r>
    </w:p>
    <w:p>
      <w:pPr>
        <w:spacing w:line="600" w:lineRule="exact"/>
        <w:ind w:firstLine="640"/>
        <w:rPr>
          <w:rFonts w:hint="eastAsia" w:ascii="仿宋" w:hAnsi="仿宋" w:eastAsia="仿宋"/>
          <w:b/>
          <w:color w:val="auto"/>
          <w:sz w:val="32"/>
          <w:szCs w:val="32"/>
          <w:highlight w:val="none"/>
          <w:lang w:eastAsia="zh-CN"/>
        </w:rPr>
      </w:pP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19"/>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般公共预算财政拨款支出决算情况说明</w:t>
      </w:r>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1414.35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99.95</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257.18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18.17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w:t>
      </w: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-45720</wp:posOffset>
            </wp:positionH>
            <wp:positionV relativeFrom="paragraph">
              <wp:posOffset>537845</wp:posOffset>
            </wp:positionV>
            <wp:extent cx="5256530" cy="2988310"/>
            <wp:effectExtent l="5080" t="4445" r="1524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因是</w:t>
      </w:r>
      <w:r>
        <w:rPr>
          <w:rFonts w:hint="eastAsia" w:ascii="仿宋" w:hAnsi="仿宋" w:eastAsia="仿宋"/>
          <w:color w:val="auto"/>
          <w:sz w:val="32"/>
          <w:szCs w:val="32"/>
          <w:highlight w:val="none"/>
          <w:lang w:eastAsia="zh-CN"/>
        </w:rPr>
        <w:t>住房保障与人员经费的减少。</w:t>
      </w:r>
    </w:p>
    <w:p>
      <w:pPr>
        <w:spacing w:line="600" w:lineRule="exact"/>
        <w:ind w:firstLine="640" w:firstLineChars="200"/>
        <w:rPr>
          <w:rFonts w:hint="eastAsia" w:ascii="仿宋" w:hAnsi="仿宋" w:eastAsia="仿宋"/>
          <w:color w:val="auto"/>
          <w:sz w:val="32"/>
          <w:szCs w:val="32"/>
          <w:highlight w:val="none"/>
          <w:lang w:eastAsia="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年一般公共预算财政拨款支出1,414.35万元，主要用于以下方面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548.38万元</w:t>
      </w:r>
      <w:r>
        <w:rPr>
          <w:rFonts w:hint="eastAsia" w:ascii="仿宋" w:hAnsi="仿宋" w:eastAsia="仿宋"/>
          <w:b/>
          <w:bCs/>
          <w:color w:val="auto"/>
          <w:sz w:val="32"/>
          <w:szCs w:val="32"/>
          <w:highlight w:val="none"/>
        </w:rPr>
        <w:t>，占</w:t>
      </w:r>
      <w:r>
        <w:rPr>
          <w:rFonts w:hint="eastAsia" w:ascii="仿宋" w:hAnsi="仿宋" w:eastAsia="仿宋"/>
          <w:b/>
          <w:bCs/>
          <w:color w:val="auto"/>
          <w:sz w:val="32"/>
          <w:szCs w:val="32"/>
          <w:highlight w:val="none"/>
          <w:lang w:val="en-US" w:eastAsia="zh-CN"/>
        </w:rPr>
        <w:t>33.72</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文化旅游体育与传媒支出4.9万元，占</w:t>
      </w:r>
      <w:r>
        <w:rPr>
          <w:rFonts w:hint="eastAsia" w:ascii="仿宋" w:hAnsi="仿宋" w:eastAsia="仿宋"/>
          <w:b/>
          <w:bCs/>
          <w:color w:val="auto"/>
          <w:sz w:val="32"/>
          <w:szCs w:val="32"/>
          <w:highlight w:val="none"/>
          <w:lang w:val="en-US" w:eastAsia="zh-CN"/>
        </w:rPr>
        <w:t>0.35</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89.03万元，占</w:t>
      </w:r>
      <w:r>
        <w:rPr>
          <w:rFonts w:hint="eastAsia" w:ascii="仿宋" w:hAnsi="仿宋" w:eastAsia="仿宋"/>
          <w:color w:val="auto"/>
          <w:sz w:val="32"/>
          <w:szCs w:val="32"/>
          <w:highlight w:val="none"/>
          <w:lang w:val="en-US" w:eastAsia="zh-CN"/>
        </w:rPr>
        <w:t>6.29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179.34万元，占</w:t>
      </w:r>
      <w:r>
        <w:rPr>
          <w:rFonts w:hint="eastAsia" w:ascii="仿宋" w:hAnsi="仿宋" w:eastAsia="仿宋"/>
          <w:color w:val="auto"/>
          <w:sz w:val="32"/>
          <w:szCs w:val="32"/>
          <w:highlight w:val="none"/>
          <w:lang w:val="en-US" w:eastAsia="zh-CN"/>
        </w:rPr>
        <w:t>12.68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43.68万元，占</w:t>
      </w:r>
      <w:r>
        <w:rPr>
          <w:rFonts w:hint="eastAsia" w:ascii="仿宋" w:hAnsi="仿宋" w:eastAsia="仿宋"/>
          <w:color w:val="auto"/>
          <w:sz w:val="32"/>
          <w:szCs w:val="32"/>
          <w:highlight w:val="none"/>
          <w:lang w:val="en-US" w:eastAsia="zh-CN"/>
        </w:rPr>
        <w:t>3.09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公共安全支出</w:t>
      </w:r>
      <w:r>
        <w:rPr>
          <w:rFonts w:hint="eastAsia" w:ascii="仿宋" w:hAnsi="仿宋" w:eastAsia="仿宋"/>
          <w:color w:val="auto"/>
          <w:sz w:val="32"/>
          <w:szCs w:val="32"/>
          <w:highlight w:val="none"/>
          <w:lang w:val="en-US" w:eastAsia="zh-CN"/>
        </w:rPr>
        <w:t>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节能环保支出</w:t>
      </w:r>
      <w:r>
        <w:rPr>
          <w:rFonts w:hint="eastAsia" w:ascii="仿宋" w:hAnsi="仿宋" w:eastAsia="仿宋"/>
          <w:b/>
          <w:bCs/>
          <w:color w:val="auto"/>
          <w:sz w:val="32"/>
          <w:szCs w:val="32"/>
          <w:highlight w:val="none"/>
          <w:lang w:val="en-US" w:eastAsia="zh-CN"/>
        </w:rPr>
        <w:t>15.76</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1.11</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城乡社区支出</w:t>
      </w:r>
      <w:r>
        <w:rPr>
          <w:rFonts w:hint="eastAsia" w:ascii="仿宋" w:hAnsi="仿宋" w:eastAsia="仿宋"/>
          <w:color w:val="auto"/>
          <w:sz w:val="32"/>
          <w:szCs w:val="32"/>
          <w:highlight w:val="none"/>
        </w:rPr>
        <w:t>528.83万元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37.39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w:t>
      </w:r>
      <w:r>
        <w:rPr>
          <w:rFonts w:hint="eastAsia" w:ascii="仿宋" w:hAnsi="仿宋" w:eastAsia="仿宋"/>
          <w:color w:val="auto"/>
          <w:sz w:val="32"/>
          <w:szCs w:val="32"/>
          <w:highlight w:val="none"/>
          <w:lang w:val="en-US" w:eastAsia="zh-CN"/>
        </w:rPr>
        <w:t>0.18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灾害防治及应急管理支出</w:t>
      </w:r>
      <w:r>
        <w:rPr>
          <w:rFonts w:hint="eastAsia" w:ascii="仿宋_GB2312" w:hAnsi="仿宋" w:eastAsia="仿宋_GB2312"/>
          <w:sz w:val="32"/>
          <w:szCs w:val="32"/>
          <w:lang w:eastAsia="zh-CN"/>
        </w:rPr>
        <w:t>4.93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173355</wp:posOffset>
            </wp:positionH>
            <wp:positionV relativeFrom="paragraph">
              <wp:posOffset>-281305</wp:posOffset>
            </wp:positionV>
            <wp:extent cx="5256530" cy="3188335"/>
            <wp:effectExtent l="4445" t="4445" r="15875" b="762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pPr>
        <w:spacing w:line="600" w:lineRule="exact"/>
        <w:ind w:firstLine="642"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1414.35</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p>
    <w:p>
      <w:pPr>
        <w:spacing w:line="600" w:lineRule="exact"/>
        <w:ind w:firstLine="642"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一般公共服务（类）</w:t>
      </w:r>
      <w:r>
        <w:rPr>
          <w:rStyle w:val="17"/>
          <w:rFonts w:hint="eastAsia" w:ascii="仿宋" w:hAnsi="仿宋" w:eastAsia="仿宋"/>
          <w:bCs/>
          <w:color w:val="auto"/>
          <w:sz w:val="32"/>
          <w:szCs w:val="32"/>
          <w:highlight w:val="none"/>
          <w:lang w:val="en-US" w:eastAsia="zh-CN"/>
        </w:rPr>
        <w:t>6</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12</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支出决算为548.38万元，完成预算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2.</w:t>
      </w:r>
      <w:r>
        <w:rPr>
          <w:rStyle w:val="17"/>
          <w:rFonts w:hint="eastAsia" w:ascii="仿宋" w:hAnsi="仿宋" w:eastAsia="仿宋"/>
          <w:bCs/>
          <w:color w:val="auto"/>
          <w:sz w:val="32"/>
          <w:szCs w:val="32"/>
          <w:highlight w:val="none"/>
          <w:lang w:eastAsia="zh-CN"/>
        </w:rPr>
        <w:t>节能环保</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支出决算为15.76万元，完成预算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3.</w:t>
      </w:r>
      <w:r>
        <w:rPr>
          <w:rStyle w:val="17"/>
          <w:rFonts w:hint="eastAsia" w:ascii="仿宋" w:hAnsi="仿宋" w:eastAsia="仿宋"/>
          <w:bCs/>
          <w:color w:val="auto"/>
          <w:sz w:val="32"/>
          <w:szCs w:val="32"/>
          <w:highlight w:val="none"/>
          <w:lang w:eastAsia="zh-CN"/>
        </w:rPr>
        <w:t>城乡社区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5</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7</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支出决算为528.83万元，完成预算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4.</w:t>
      </w:r>
      <w:r>
        <w:rPr>
          <w:rStyle w:val="17"/>
          <w:rFonts w:hint="eastAsia" w:ascii="仿宋" w:hAnsi="仿宋" w:eastAsia="仿宋"/>
          <w:bCs/>
          <w:color w:val="auto"/>
          <w:sz w:val="32"/>
          <w:szCs w:val="32"/>
          <w:highlight w:val="none"/>
        </w:rPr>
        <w:t>文化旅游体育与传媒（类）</w:t>
      </w: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支出决算为4.9万元，完成预算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5.</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5</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支出决算为89.03万元，完成预算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2" w:firstLineChars="200"/>
        <w:rPr>
          <w:rStyle w:val="17"/>
          <w:rFonts w:hint="eastAsia" w:ascii="仿宋" w:hAnsi="仿宋" w:eastAsia="仿宋"/>
          <w:b w:val="0"/>
          <w:bCs/>
          <w:color w:val="auto"/>
          <w:sz w:val="32"/>
          <w:szCs w:val="32"/>
          <w:highlight w:val="none"/>
        </w:rPr>
      </w:pPr>
      <w:r>
        <w:rPr>
          <w:rStyle w:val="17"/>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6</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支出决算为179.34万元，完成预算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w:t>
      </w: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0.18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住房保障支出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支出决算为43.68万元，完成预算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灾害防治及应急管理支出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支出决算为4.93万元，完成预算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19"/>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般公共预算财政拨款基本支出决算情况说明</w:t>
      </w:r>
      <w:r>
        <w:rPr>
          <w:rStyle w:val="1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635.35</w:t>
      </w:r>
      <w:r>
        <w:rPr>
          <w:rFonts w:hint="eastAsia" w:ascii="仿宋" w:hAnsi="仿宋" w:eastAsia="仿宋"/>
          <w:color w:val="auto"/>
          <w:sz w:val="32"/>
          <w:szCs w:val="32"/>
          <w:highlight w:val="none"/>
        </w:rPr>
        <w:t>万元，其中：</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人员经费523.37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111.98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19"/>
          <w:rFonts w:ascii="黑体" w:hAnsi="黑体" w:eastAsia="黑体"/>
          <w:b w:val="0"/>
          <w:color w:val="auto"/>
          <w:highlight w:val="none"/>
        </w:rPr>
      </w:pPr>
      <w:r>
        <w:rPr>
          <w:rFonts w:hint="eastAsia" w:ascii="黑体" w:eastAsia="黑体"/>
          <w:color w:val="auto"/>
          <w:sz w:val="32"/>
          <w:szCs w:val="32"/>
          <w:highlight w:val="none"/>
        </w:rPr>
        <w:t>七、</w:t>
      </w:r>
      <w:r>
        <w:rPr>
          <w:rStyle w:val="19"/>
          <w:rFonts w:hint="eastAsia" w:ascii="黑体" w:hAnsi="黑体" w:eastAsia="黑体"/>
          <w:b w:val="0"/>
          <w:color w:val="auto"/>
          <w:highlight w:val="none"/>
        </w:rPr>
        <w:t>财政拨款</w:t>
      </w:r>
      <w:r>
        <w:rPr>
          <w:rStyle w:val="19"/>
          <w:rFonts w:hint="eastAsia" w:ascii="黑体" w:hAnsi="黑体" w:eastAsia="黑体"/>
          <w:color w:val="auto"/>
          <w:highlight w:val="none"/>
        </w:rPr>
        <w:t>“</w:t>
      </w:r>
      <w:r>
        <w:rPr>
          <w:rStyle w:val="19"/>
          <w:rFonts w:hint="eastAsia" w:ascii="黑体" w:hAnsi="黑体" w:eastAsia="黑体"/>
          <w:b w:val="0"/>
          <w:color w:val="auto"/>
          <w:highlight w:val="none"/>
        </w:rPr>
        <w:t>三公”经费支出决算情况说明</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（1）“三公”经费支出情况：</w:t>
      </w:r>
      <w:bookmarkStart w:id="0" w:name="_GoBack"/>
      <w:r>
        <w:rPr>
          <w:rFonts w:hint="eastAsia" w:ascii="仿宋" w:hAnsi="仿宋" w:eastAsia="仿宋" w:cs="仿宋"/>
          <w:sz w:val="32"/>
          <w:szCs w:val="32"/>
        </w:rPr>
        <w:t>三公经费</w:t>
      </w:r>
      <w:bookmarkEnd w:id="0"/>
      <w:r>
        <w:rPr>
          <w:rFonts w:hint="eastAsia" w:ascii="仿宋" w:hAnsi="仿宋" w:eastAsia="仿宋" w:cs="仿宋"/>
          <w:sz w:val="32"/>
          <w:szCs w:val="32"/>
        </w:rPr>
        <w:t>支出为0元，</w:t>
      </w:r>
      <w:r>
        <w:rPr>
          <w:rFonts w:hint="eastAsia" w:ascii="仿宋" w:hAnsi="仿宋" w:eastAsia="仿宋" w:cs="仿宋"/>
          <w:color w:val="000000"/>
          <w:sz w:val="32"/>
          <w:szCs w:val="32"/>
        </w:rPr>
        <w:t>上年度未发生三公经费。</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（2）会议费支出情况：会议费为</w:t>
      </w:r>
      <w:r>
        <w:rPr>
          <w:rFonts w:hint="eastAsia" w:ascii="仿宋" w:hAnsi="仿宋" w:eastAsia="仿宋" w:cs="仿宋"/>
          <w:sz w:val="32"/>
          <w:szCs w:val="32"/>
          <w:lang w:val="en-US" w:eastAsia="zh-CN"/>
        </w:rPr>
        <w:t>0</w:t>
      </w:r>
      <w:r>
        <w:rPr>
          <w:rFonts w:hint="eastAsia" w:ascii="仿宋" w:hAnsi="仿宋" w:eastAsia="仿宋" w:cs="仿宋"/>
          <w:sz w:val="32"/>
          <w:szCs w:val="32"/>
        </w:rPr>
        <w:t>元，上年</w:t>
      </w:r>
      <w:r>
        <w:rPr>
          <w:rFonts w:hint="eastAsia" w:ascii="仿宋" w:hAnsi="仿宋" w:eastAsia="仿宋" w:cs="仿宋"/>
          <w:sz w:val="32"/>
          <w:szCs w:val="32"/>
          <w:lang w:val="en-US" w:eastAsia="zh-CN"/>
        </w:rPr>
        <w:t>未发生</w:t>
      </w:r>
      <w:r>
        <w:rPr>
          <w:rFonts w:hint="eastAsia" w:ascii="仿宋" w:hAnsi="仿宋" w:eastAsia="仿宋" w:cs="仿宋"/>
          <w:sz w:val="32"/>
          <w:szCs w:val="32"/>
        </w:rPr>
        <w:t>会议费。</w:t>
      </w:r>
    </w:p>
    <w:p>
      <w:pPr>
        <w:spacing w:line="600" w:lineRule="exact"/>
        <w:ind w:firstLine="640"/>
        <w:outlineLvl w:val="1"/>
        <w:rPr>
          <w:rFonts w:hint="eastAsia" w:ascii="仿宋" w:hAnsi="仿宋" w:eastAsia="仿宋" w:cs="仿宋"/>
          <w:color w:val="000000"/>
          <w:sz w:val="32"/>
          <w:szCs w:val="32"/>
        </w:rPr>
      </w:pPr>
      <w:r>
        <w:rPr>
          <w:rFonts w:hint="eastAsia" w:ascii="仿宋" w:hAnsi="仿宋" w:eastAsia="仿宋" w:cs="仿宋"/>
          <w:sz w:val="32"/>
          <w:szCs w:val="32"/>
        </w:rPr>
        <w:t>（3）培训费支出情况：培训费支出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r>
        <w:rPr>
          <w:rFonts w:hint="eastAsia" w:ascii="仿宋" w:hAnsi="仿宋" w:eastAsia="仿宋" w:cs="仿宋"/>
          <w:color w:val="000000"/>
          <w:sz w:val="32"/>
          <w:szCs w:val="32"/>
        </w:rPr>
        <w:t>上年度未发生</w:t>
      </w:r>
      <w:r>
        <w:rPr>
          <w:rFonts w:hint="eastAsia" w:ascii="仿宋" w:hAnsi="仿宋" w:eastAsia="仿宋" w:cs="仿宋"/>
          <w:color w:val="000000"/>
          <w:sz w:val="32"/>
          <w:szCs w:val="32"/>
          <w:lang w:val="en-US" w:eastAsia="zh-CN"/>
        </w:rPr>
        <w:t>培训</w:t>
      </w:r>
      <w:r>
        <w:rPr>
          <w:rFonts w:hint="eastAsia" w:ascii="仿宋" w:hAnsi="仿宋" w:eastAsia="仿宋" w:cs="仿宋"/>
          <w:color w:val="000000"/>
          <w:sz w:val="32"/>
          <w:szCs w:val="32"/>
        </w:rPr>
        <w:t>费。</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w:t>
      </w: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w:t>
      </w:r>
    </w:p>
    <w:p>
      <w:pPr>
        <w:spacing w:line="600" w:lineRule="exact"/>
        <w:ind w:firstLine="640"/>
        <w:outlineLvl w:val="1"/>
        <w:rPr>
          <w:rFonts w:ascii="黑体" w:eastAsia="黑体"/>
          <w:color w:val="auto"/>
          <w:sz w:val="32"/>
          <w:szCs w:val="32"/>
          <w:highlight w:val="none"/>
        </w:rPr>
      </w:pPr>
    </w:p>
    <w:p>
      <w:pPr>
        <w:spacing w:line="600" w:lineRule="exact"/>
        <w:ind w:firstLine="640"/>
        <w:outlineLvl w:val="1"/>
        <w:rPr>
          <w:rStyle w:val="19"/>
          <w:rFonts w:ascii="黑体" w:hAnsi="黑体" w:eastAsia="黑体"/>
          <w:color w:val="auto"/>
          <w:highlight w:val="none"/>
        </w:rPr>
      </w:pPr>
      <w:r>
        <w:rPr>
          <w:rFonts w:hint="eastAsia" w:ascii="黑体" w:eastAsia="黑体"/>
          <w:color w:val="auto"/>
          <w:sz w:val="32"/>
          <w:szCs w:val="32"/>
          <w:highlight w:val="none"/>
        </w:rPr>
        <w:t>八、</w:t>
      </w:r>
      <w:r>
        <w:rPr>
          <w:rStyle w:val="19"/>
          <w:rFonts w:hint="eastAsia" w:ascii="黑体" w:hAnsi="黑体" w:eastAsia="黑体"/>
          <w:b w:val="0"/>
          <w:color w:val="auto"/>
          <w:highlight w:val="none"/>
        </w:rPr>
        <w:t>政府性基金预算支出决算情况说明</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ascii="黑体" w:hAnsi="黑体" w:eastAsia="黑体"/>
          <w:b w:val="0"/>
          <w:color w:val="auto"/>
          <w:highlight w:val="none"/>
        </w:rPr>
      </w:pPr>
      <w:r>
        <w:rPr>
          <w:rStyle w:val="19"/>
          <w:rFonts w:hint="eastAsia" w:ascii="黑体" w:hAnsi="黑体" w:eastAsia="黑体"/>
          <w:b w:val="0"/>
          <w:color w:val="auto"/>
          <w:highlight w:val="none"/>
          <w:lang w:eastAsia="zh-CN"/>
        </w:rPr>
        <w:t>九、</w:t>
      </w:r>
      <w:r>
        <w:rPr>
          <w:rStyle w:val="19"/>
          <w:rFonts w:hint="eastAsia" w:ascii="黑体" w:hAnsi="黑体" w:eastAsia="黑体"/>
          <w:b w:val="0"/>
          <w:color w:val="auto"/>
          <w:highlight w:val="none"/>
        </w:rPr>
        <w:t>国有资本经营预算支出决算情况说明</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ascii="方正小标宋简体" w:hAnsi="方正小标宋简体" w:eastAsia="方正小标宋简体" w:cs="方正小标宋简体"/>
          <w:color w:val="auto"/>
          <w:sz w:val="44"/>
          <w:szCs w:val="4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黑体" w:hAnsi="黑体" w:eastAsia="黑体"/>
          <w:b w:val="0"/>
          <w:color w:val="auto"/>
          <w:highlight w:val="none"/>
        </w:rPr>
      </w:pPr>
      <w:r>
        <w:rPr>
          <w:rStyle w:val="19"/>
          <w:rFonts w:hint="eastAsia" w:ascii="黑体" w:hAnsi="黑体" w:eastAsia="黑体"/>
          <w:b w:val="0"/>
          <w:color w:val="auto"/>
          <w:highlight w:val="none"/>
          <w:lang w:eastAsia="zh-CN"/>
        </w:rPr>
        <w:t>十、</w:t>
      </w:r>
      <w:r>
        <w:rPr>
          <w:rStyle w:val="19"/>
          <w:rFonts w:hint="eastAsia" w:ascii="黑体" w:hAnsi="黑体" w:eastAsia="黑体"/>
          <w:b w:val="0"/>
          <w:color w:val="auto"/>
          <w:highlight w:val="none"/>
        </w:rPr>
        <w:t>其他重要事项的情况说明</w:t>
      </w:r>
    </w:p>
    <w:p>
      <w:pPr>
        <w:spacing w:line="600" w:lineRule="exact"/>
        <w:ind w:firstLine="642"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行政</w:t>
      </w:r>
      <w:r>
        <w:rPr>
          <w:rFonts w:hint="eastAsia" w:ascii="仿宋_GB2312" w:eastAsia="仿宋_GB2312"/>
          <w:color w:val="auto"/>
          <w:sz w:val="32"/>
          <w:szCs w:val="32"/>
          <w:highlight w:val="none"/>
        </w:rPr>
        <w:t>机关运行经费支出111.98万元。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pPr>
        <w:pageBreakBefore w:val="0"/>
        <w:kinsoku/>
        <w:wordWrap/>
        <w:overflowPunct/>
        <w:topLinePunct w:val="0"/>
        <w:bidi w:val="0"/>
        <w:spacing w:line="360" w:lineRule="auto"/>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无政府采购</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pP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无公车</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hAnsi="Times New Roman" w:eastAsia="仿宋_GB2312" w:cs="Times New Roman"/>
          <w:color w:val="auto"/>
          <w:sz w:val="32"/>
          <w:szCs w:val="32"/>
          <w:highlight w:val="none"/>
          <w:lang w:val="en-US" w:eastAsia="zh-CN"/>
        </w:rPr>
        <w:t>社区干部工作经费</w:t>
      </w:r>
      <w:r>
        <w:rPr>
          <w:rFonts w:hint="eastAsia" w:ascii="仿宋_GB2312" w:hAnsi="Times New Roman" w:eastAsia="仿宋_GB2312" w:cs="Times New Roman"/>
          <w:color w:val="auto"/>
          <w:sz w:val="32"/>
          <w:szCs w:val="32"/>
          <w:highlight w:val="none"/>
          <w:lang w:eastAsia="zh-CN"/>
        </w:rPr>
        <w:t>项目等</w:t>
      </w:r>
      <w:r>
        <w:rPr>
          <w:rFonts w:hint="eastAsia" w:ascii="仿宋_GB2312" w:hAnsi="Times New Roman" w:eastAsia="仿宋_GB2312" w:cs="Times New Roman"/>
          <w:color w:val="auto"/>
          <w:sz w:val="32"/>
          <w:szCs w:val="32"/>
          <w:highlight w:val="none"/>
          <w:lang w:val="en-US" w:eastAsia="zh-CN"/>
        </w:rPr>
        <w:t>47个项目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33</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23</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21个项目开展绩效自评，绩效自评表详见第四部分附件。</w:t>
      </w:r>
    </w:p>
    <w:p>
      <w:pPr>
        <w:spacing w:line="60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br w:type="page"/>
      </w:r>
    </w:p>
    <w:p>
      <w:pPr>
        <w:numPr>
          <w:ilvl w:val="0"/>
          <w:numId w:val="0"/>
        </w:numPr>
        <w:spacing w:line="600" w:lineRule="exact"/>
        <w:jc w:val="center"/>
        <w:outlineLvl w:val="0"/>
        <w:rPr>
          <w:rStyle w:val="18"/>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18"/>
          <w:rFonts w:hint="eastAsia" w:ascii="黑体" w:hAnsi="黑体" w:eastAsia="黑体"/>
          <w:b w:val="0"/>
          <w:color w:val="auto"/>
          <w:highlight w:val="none"/>
        </w:rPr>
        <w:t>词解释</w:t>
      </w:r>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人大事务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人大会议</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各级人大召开人民代表大会等专门会议的支出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行政运行</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指行政单位（包括实行公务员管理的事业单位）的基本支出。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一般行政管理事务</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指行政单位（包括实行公务员管理的事业单位）未单独设置项级科目的其他项目支出。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信访事务</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指各级政府用于接待群众来信来访方面的支出。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事业运行</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指事业单位的基本支出，不包括行政单位（包括实行公务员管理的事业单位）后勤服务中心、医务室等附属事业单位。</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财政事务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行政运行</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指行政单位（包括实行公务员管理的事业单位）未单独设置顶级科目的其他项目支出。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财政事务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事业运行</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指事业单位的基本支出，不包括行政单位（包括实行公务员管理的事业单位）后勤服务中心、医务室等附属事业单位。</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16.社会保障和就业支出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民政管理事务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基层政权和社区建设</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开展村民自治、村务公开等基层政权和社区建设工作的支出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17.社会保障和就业支出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归口管理的行政单位离退休</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指实行归口管路的行政单位（包括实行公务员管理的事业单位）开支的离退休经费</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18.社会保障和就业支出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机关事业单位基本养老保险缴费支出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指机关事业单位实施养老保险制度由单位缴纳的基本养老保险费支出。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19.社会保障和就业支出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机关事业单位职业年金缴费支出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指机关事业单位实施养老保险制度由单位实际缴纳的职业年金支出。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val="en-US"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重大公共卫生专项</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重大疾病预防控制等重大公共卫生服务项目支出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val="en-US" w:eastAsia="zh-CN"/>
        </w:rPr>
        <w:t>食品和药品监督管理事务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事业运行</w:t>
      </w:r>
      <w:r>
        <w:rPr>
          <w:rFonts w:hint="eastAsia" w:ascii="仿宋_GB2312" w:eastAsia="仿宋_GB2312"/>
          <w:color w:val="000000"/>
          <w:sz w:val="32"/>
          <w:szCs w:val="32"/>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指事业单位的基本支出，不包括行政单位（包括实行公务员管理的事业单位）后勤服务中心、医务室等附属事业单位。</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节能环保（类）</w:t>
      </w:r>
      <w:r>
        <w:rPr>
          <w:rFonts w:hint="eastAsia" w:ascii="仿宋_GB2312" w:eastAsia="仿宋_GB2312"/>
          <w:color w:val="000000"/>
          <w:sz w:val="32"/>
          <w:szCs w:val="32"/>
          <w:lang w:val="en-US" w:eastAsia="zh-CN"/>
        </w:rPr>
        <w:t>自然生态保护</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农村环境保护</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指用于农村环境保护方面的支出。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r>
        <w:rPr>
          <w:rFonts w:ascii="仿宋_GB2312" w:eastAsia="仿宋_GB2312"/>
          <w:color w:val="000000"/>
          <w:sz w:val="32"/>
          <w:szCs w:val="32"/>
        </w:rPr>
        <w:t>.</w:t>
      </w:r>
      <w:r>
        <w:rPr>
          <w:rFonts w:hint="eastAsia" w:ascii="仿宋_GB2312" w:eastAsia="仿宋_GB2312"/>
          <w:color w:val="000000"/>
          <w:sz w:val="32"/>
          <w:szCs w:val="32"/>
        </w:rPr>
        <w:t>城乡社区（类）</w:t>
      </w:r>
      <w:r>
        <w:rPr>
          <w:rFonts w:hint="eastAsia" w:ascii="仿宋_GB2312" w:eastAsia="仿宋_GB2312"/>
          <w:color w:val="000000"/>
          <w:sz w:val="32"/>
          <w:szCs w:val="32"/>
          <w:lang w:val="en-US" w:eastAsia="zh-CN"/>
        </w:rPr>
        <w:t>城乡社区管理事务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城管执法</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城市管理综合行政执法、加强城市市容和环境卫生管理等方面的支出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城乡社区（类）</w:t>
      </w:r>
      <w:r>
        <w:rPr>
          <w:rFonts w:hint="eastAsia" w:ascii="仿宋_GB2312" w:eastAsia="仿宋_GB2312"/>
          <w:color w:val="000000"/>
          <w:sz w:val="32"/>
          <w:szCs w:val="32"/>
          <w:lang w:val="en-US" w:eastAsia="zh-CN"/>
        </w:rPr>
        <w:t>城乡社区环境卫生</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城乡社区环境卫生</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指城乡社区道路清扫、垃圾清运与处理、公厕建设与维护、园林绿化等方面的支出。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城乡社区（类）</w:t>
      </w:r>
      <w:r>
        <w:rPr>
          <w:rFonts w:hint="eastAsia" w:ascii="仿宋_GB2312" w:eastAsia="仿宋_GB2312"/>
          <w:color w:val="000000"/>
          <w:sz w:val="32"/>
          <w:szCs w:val="32"/>
          <w:lang w:val="en-US" w:eastAsia="zh-CN"/>
        </w:rPr>
        <w:t>建设市场管理与监督</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建设市场管理与监督</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指各类建筑工程强制性和推荐性标准及规范的制定与修改、建筑工程招投标等市场管理、建筑工程质量与安全监督等方面的支出。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26</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val="en-US" w:eastAsia="zh-CN"/>
        </w:rPr>
        <w:t>农业</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病虫害控制</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用于病虫鼠害及疫情监测、预报、预防、控制、检疫、防疫所需的仪器、设施、药物、疫苗、种苗，疫畜（禽、鱼、植物）防治、扑杀补偿及劳务补助、菌（毒）种保藏及动植物及其产品检疫、检测等方面的支出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仿宋_GB2312" w:eastAsia="仿宋_GB2312"/>
          <w:sz w:val="32"/>
          <w:szCs w:val="32"/>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8"/>
          <w:rFonts w:ascii="黑体" w:hAnsi="黑体" w:eastAsia="黑体"/>
          <w:b w:val="0"/>
          <w:color w:val="auto"/>
          <w:highlight w:val="none"/>
        </w:rPr>
      </w:pPr>
      <w:r>
        <w:rPr>
          <w:rFonts w:ascii="宋体"/>
          <w:b/>
          <w:color w:val="auto"/>
          <w:sz w:val="44"/>
          <w:szCs w:val="44"/>
          <w:highlight w:val="none"/>
        </w:rPr>
        <w:br w:type="page"/>
      </w:r>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四部分 附件</w:t>
      </w:r>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p>
    <w:tbl>
      <w:tblPr>
        <w:tblStyle w:val="15"/>
        <w:tblW w:w="126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806"/>
        <w:gridCol w:w="1571"/>
        <w:gridCol w:w="2011"/>
        <w:gridCol w:w="469"/>
        <w:gridCol w:w="1482"/>
        <w:gridCol w:w="467"/>
        <w:gridCol w:w="978"/>
        <w:gridCol w:w="576"/>
        <w:gridCol w:w="410"/>
        <w:gridCol w:w="2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099"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4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6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0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51090821Y000000049785-执法队员经费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51090821Y000000049938-执法车辆运行经费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51090821Y000000049957-餐补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51090822T000000344838-社区在职干部经费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2023年全年投入174.18万元，主要用于社区干部的工资薪金发放，通过项目开展，确保辖区内7个社区的管理运行工作顺利有序开展。</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163.02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社区干部人数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确保按时足额发放</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按月支付</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主要用于基本工资、年限工资、职业津贴的支付</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确保社区管理运行有序到位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社区干部高质高效完成各项工作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51090822T000000344882-社区离任干部经费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2023年全年投入7.46万元，主要用于辖区内离任社区干部的生活补助发放工作，通过项目开展确保离任社区干部的补助发放到位，增强政府公信力。</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社区离任干部人数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符合离任社区的个档次补助标准</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2022年完成每月发放工作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每月发放5080元</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60960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社区退休干部满意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51090822T000000344906-村社区小组长补贴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2023年全年投入43.88万元，主要用于辖区内7个社区的小组长生活补助发放工作，确保辖区内各项管理工作顺利开展。</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43.88</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43.88</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43.88</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社区小组长人数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2022年每月按时足额发放</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71人每人每月515元</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确保辖区各项工作运转有序高效</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社区小组长积极开展各项工作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51090822T000000344916-食药协管员补贴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2023年度投入2.02万元，主要用于支付食药协管员补助，确保辖区内确定的食药协管员担负起各项协管职责，保障辖区内食药管理各项法规政策宣传管理到位。</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每月补助</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发放食药协管员</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补贴发放时限</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确保辖区内各类食品药品经营者知悉食药管理法规政策，并按规定执行</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确保食药协管员正常开展工作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食药协管员满意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51090822T000000344925-老党员生活补贴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2023年度全年投入1.8万元，主要用于发放辖区内5名老党员生活补助，让老党员感受到政府温暖，增强党员凝聚力。</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老党员人数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2022年全年每月按时足额发放</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每名老党员按300元每月发放补助</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增强党员凝聚力和政府公信力</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老党员满意度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51090822T000000344934-辞退民师生活补助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2023年投入480元，主要用于辖区内1名辞退民师的补助发放工作，确保补助及时发放到位，让惠民政策切实落到实处，增强政府公信力。</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辖区内辞退名师人数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及时足额发放</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执行时限</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财政预算数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辞退民师满意度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51090822T000000414556-村社区干部奖励性绩效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2023年投入33.12万元，主要用于社区干部年终绩效考核工作，确保考核绩效工资及时足额发放到社区干部个人，达到激励效果，推动社区工作及时高效落到实处。</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社区干部人数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绩效工资发放时限</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对干部的激励到位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社区干部积极开展工作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51090822T000000414567-森林防火、消防等安全应急资金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2023年投入3.6万元，主要用于做好辖区内森林防火、消防等安全应急工作，确保辖区内无安全事故发生，建设平安辖区。</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开展4次消防演练</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执行时效</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确保辖区内无安全事故发生</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确保群众知悉消防应急等方面的知识和技能</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辖区群众有生产生活安全感</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51090822T000000414573-电子政务外网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2023年投入3.36万元，主要用于辖区内电子政务外网各点位的维护维管工作，确保电子政务外网各点位的运转正常有序，信息传送及时高效。</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电子政务外网点位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保障时效</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确保各项信息数据传送及时高效</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高效运行电子政务外网</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干部职工满意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51090822T000000414580-信访、综治维稳工作经费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2023年度投入10万元，主要用于辖区内的信访维稳工作，通过及时疏导信访群众情绪，及时协调解决信访事项，实现零进京上访事件，建设平安社区、平安辖区。</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开展信访事项排查、协调</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确保社会稳定和谐</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执行时效</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财政预算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保障社会稳定</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信访事项的解决率和信访人满意度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51090822T000000414584-河长制专项经费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2023年投入4.16万元，主要用于辖区内河长制管理员的补助发放工作，确保管理员积极开展各项巡河检查工作，将河长制各项工作落实到位。</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5.16</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5.16</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河长定时开展巡河工作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确保河长工作高标准完成</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确保辖区内河道安全，环境整洁</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群众对河道环境满意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51090822T000000414587-动物防疫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2023年投入0.7万元，主要用于辖区内动物防疫工作的宣传和疫苗注射等工作，确保辖区流浪动物的安全治理工作，建设安全辖区。</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确保辖区内动物防疫工作全面到位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确保辖区动物疫苗注射到位，无动物安全事件发生</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建设安全辖区</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辖区内群众有动物防疫安全感</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51090822T000000414600-村社区工作经费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2023年投入35万元，主要用于保障社区各项工作的顺利开展，确保辖区内各社区工作的有序、安全、持续开展。</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社区个数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完成时效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各社区无安全事故发生，平稳有序开展各项工作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建设高质量高水平社区</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确保社区运转高效有序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51090822T000000437338-退役军人服务站工作专项经费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2023年投入2.52万元，主要用于退役军人服务站站长工作补贴发放工作，确保辖区内退役军人的各项政策宣传落实到位。</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退役军人服务站站长数量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执行时效</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及时足额发放补助</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服务站站长保质保量完成各项工作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51090822T000000437349-市场管理费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2023年全年投入70万元，主要用于市场管理人员的工资发放和市场管理维护等工作，确保农贸市场运营管理有序高效，为群众营造优质的购物环境。</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42.86%</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42.86%</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2022年支付70万元进行市场管理工作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主要用于每月支付市场管理人员工资和市场清洁管理维护等</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确保农贸市场安全稳定有序运行</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提升农贸市场购物体验感和知名度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群众和商户对市场管理满意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51090822T000000437358-疫情防控经费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423.17</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423.17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423.17</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423.17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51090822T000000437365-半专业扑火队标准化建设经费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2023年度全年投入15万元用于半专业扑火队的建设，主要开展队伍建设、培训、演练和器材物资的购置工作，通过项目的开展，不断提升辖区的应急管理水平和能力，确保辖区无重特大安全事故发生。</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半专业扑火队队员</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2022年完成建设工作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队伍建设、培训演练、物资采购</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有力保障辖区人民的生命财产安全</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确保辖区群众安全</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提升辖区群众安全感</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51090822T000000437367-综合文化站免费开放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51090822T000000437504-团委工作经费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2023年投入2万元，主要用于开展各项团委活动和工作，增强辖区团委的凝聚力，丰富团员的文化活动生活，提升团员责任感和政府公信力。</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开展团委活动</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丰富团员文化生活，提升团员凝聚力</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组织各种团委活动，增强政府公信力</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51090822T000000437507-关工委工作经费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2023年度投入2万元，主要用于开展各项关工委工作，确保关心下一代工作落到实处，群众感受到政府温暖，增强政府公信力。</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开展工委慰问活动</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工作开展年限</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确保关心下一代各项工作落到实处</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提升群众获得感、幸福感，拉近干群关系</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干部群众满意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51090822T000000437513-妇联专项经费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2023年投入2万元，主要用于妇联开展各项庆祝帮扶工作，增强妇女凝聚力和荣誉感，提升妇女独立意识。</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组织活动</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活动得到妇女群众的认可，帮扶弱势妇女工作落实到位</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执行时效</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增强妇女干部群众凝聚力，提升幸福感、获得感</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51090822T000000437522-人大工作经费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2023年投入2万元，主要用于开展各项人大工作，确保辖区内人大代表的意见和建议及时上传下达，反应民生民情民意，保障群众的发言权、监督权不受侵犯。</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执行时效</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保障人大代表和群众的建议权、监督权不受侵犯</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增强政府公信力和凝聚力</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51090822T000000437525-征兵工作经费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2023年度投入2万元，主要用于征兵工作的宣传和开展，确保对辖区内符合要求的青少年宣传到位，应征入伍的兵源优质，保障我辖区内的征兵各项工作顺利进行。</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确保兵源保质保量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完成征兵工作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让群众知悉应征入伍的各项政策，积极支持征兵工作</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干部群众满意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51090822T000000437542-大千世界保洁经费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2023年投入41.76万元，主要用于大千世界市场的维管和秩序保洁工作的开展，确保大千世界管理工作高质高效完成，安全有序运转。</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41.76</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41.76</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大千世界管理保质保量运转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及时支付管理费用</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建设平安美丽市场</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用优质的环境和服务吸引更多的商户和消费者</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大千世界安全有序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上级部门满意度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管理人员和商户</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51090822T000000437554-劳务派遣人员工作补助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2023年投入13.56万元，主要用于发放我单位劳务派遣工作人员工资经费，确保劳务派遣人员按时领取工资，提高人员工作积极性和主动性。</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发放人员</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发放标准</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发放准时率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保障人员工作积极性和主动性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影响年度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51090822T000005961360-秸秆焚烧经费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遂宁市船山区人民政府嘉禾街道办事处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11.34</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11.34</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五部分 附表</w:t>
      </w:r>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19"/>
          <w:rFonts w:hint="eastAsia" w:ascii="仿宋" w:hAnsi="仿宋" w:eastAsia="仿宋"/>
          <w:b w:val="0"/>
          <w:bCs w:val="0"/>
          <w:color w:val="auto"/>
          <w:highlight w:val="none"/>
        </w:rPr>
        <w:t>入支出决算总表</w:t>
      </w:r>
    </w:p>
    <w:p>
      <w:pPr>
        <w:pStyle w:val="4"/>
        <w:rPr>
          <w:rFonts w:ascii="仿宋" w:hAnsi="仿宋" w:eastAsia="仿宋"/>
          <w:color w:val="auto"/>
          <w:highlight w:val="none"/>
        </w:rPr>
      </w:pPr>
      <w:r>
        <w:rPr>
          <w:rFonts w:hint="eastAsia" w:ascii="仿宋" w:hAnsi="仿宋" w:eastAsia="仿宋"/>
          <w:b w:val="0"/>
          <w:color w:val="auto"/>
          <w:highlight w:val="none"/>
        </w:rPr>
        <w:t>二、收</w:t>
      </w:r>
      <w:r>
        <w:rPr>
          <w:rStyle w:val="19"/>
          <w:rFonts w:hint="eastAsia" w:ascii="仿宋" w:hAnsi="仿宋" w:eastAsia="仿宋"/>
          <w:b w:val="0"/>
          <w:bCs w:val="0"/>
          <w:color w:val="auto"/>
          <w:highlight w:val="none"/>
        </w:rPr>
        <w:t>入决算表</w:t>
      </w:r>
    </w:p>
    <w:p>
      <w:pPr>
        <w:pStyle w:val="4"/>
        <w:rPr>
          <w:rFonts w:ascii="仿宋" w:hAnsi="仿宋" w:eastAsia="仿宋"/>
          <w:color w:val="auto"/>
          <w:highlight w:val="none"/>
        </w:rPr>
      </w:pPr>
      <w:r>
        <w:rPr>
          <w:rStyle w:val="1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9"/>
          <w:rFonts w:hint="eastAsia" w:ascii="仿宋" w:hAnsi="仿宋" w:eastAsia="仿宋"/>
          <w:b w:val="0"/>
          <w:bCs w:val="0"/>
          <w:color w:val="auto"/>
          <w:highlight w:val="none"/>
        </w:rPr>
        <w:t>出决算表</w:t>
      </w:r>
    </w:p>
    <w:p>
      <w:pPr>
        <w:pStyle w:val="4"/>
        <w:rPr>
          <w:rFonts w:ascii="仿宋" w:hAnsi="仿宋" w:eastAsia="仿宋"/>
          <w:b w:val="0"/>
          <w:color w:val="auto"/>
          <w:highlight w:val="none"/>
        </w:rPr>
      </w:pPr>
      <w:r>
        <w:rPr>
          <w:rStyle w:val="1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政拨款收入支出决算总表</w:t>
      </w:r>
    </w:p>
    <w:p>
      <w:pPr>
        <w:pStyle w:val="4"/>
        <w:rPr>
          <w:rStyle w:val="19"/>
          <w:rFonts w:ascii="仿宋" w:hAnsi="仿宋" w:eastAsia="仿宋"/>
          <w:b w:val="0"/>
          <w:bCs w:val="0"/>
          <w:color w:val="auto"/>
          <w:highlight w:val="none"/>
        </w:rPr>
      </w:pPr>
      <w:r>
        <w:rPr>
          <w:rStyle w:val="1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政拨款支出决算明细表</w:t>
      </w:r>
    </w:p>
    <w:p>
      <w:pPr>
        <w:pStyle w:val="4"/>
        <w:rPr>
          <w:rFonts w:ascii="仿宋" w:hAnsi="仿宋" w:eastAsia="仿宋"/>
          <w:color w:val="auto"/>
          <w:highlight w:val="none"/>
        </w:rPr>
      </w:pPr>
      <w:r>
        <w:rPr>
          <w:rStyle w:val="1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般公共预算财政拨款支出决算表</w:t>
      </w:r>
    </w:p>
    <w:p>
      <w:pPr>
        <w:pStyle w:val="4"/>
        <w:rPr>
          <w:rFonts w:ascii="仿宋" w:hAnsi="仿宋" w:eastAsia="仿宋"/>
          <w:color w:val="auto"/>
          <w:highlight w:val="none"/>
        </w:rPr>
      </w:pPr>
      <w:r>
        <w:rPr>
          <w:rStyle w:val="1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般公共预算财政拨款支出决算明细表</w:t>
      </w:r>
    </w:p>
    <w:p>
      <w:pPr>
        <w:pStyle w:val="4"/>
        <w:rPr>
          <w:rFonts w:ascii="仿宋" w:hAnsi="仿宋" w:eastAsia="仿宋"/>
          <w:color w:val="auto"/>
          <w:highlight w:val="none"/>
        </w:rPr>
      </w:pPr>
      <w:r>
        <w:rPr>
          <w:rStyle w:val="1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般公共预算财政拨款基本支出决算表</w:t>
      </w:r>
    </w:p>
    <w:p>
      <w:pPr>
        <w:pStyle w:val="4"/>
        <w:rPr>
          <w:rFonts w:ascii="仿宋" w:hAnsi="仿宋" w:eastAsia="仿宋"/>
          <w:color w:val="auto"/>
          <w:highlight w:val="none"/>
        </w:rPr>
      </w:pPr>
      <w:r>
        <w:rPr>
          <w:rStyle w:val="1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般公共预算财政拨款项目支出决算表</w:t>
      </w:r>
    </w:p>
    <w:p>
      <w:pPr>
        <w:pStyle w:val="4"/>
        <w:rPr>
          <w:rFonts w:ascii="仿宋" w:hAnsi="仿宋" w:eastAsia="仿宋"/>
          <w:color w:val="auto"/>
          <w:highlight w:val="none"/>
        </w:rPr>
      </w:pPr>
      <w:r>
        <w:rPr>
          <w:rStyle w:val="19"/>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19"/>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r>
        <w:rPr>
          <w:rStyle w:val="19"/>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19"/>
          <w:rFonts w:hint="eastAsia" w:ascii="仿宋" w:hAnsi="仿宋" w:eastAsia="仿宋"/>
          <w:b w:val="0"/>
          <w:bCs w:val="0"/>
          <w:color w:val="auto"/>
          <w:highlight w:val="none"/>
        </w:rPr>
        <w:t>有资本经营预算</w:t>
      </w:r>
      <w:r>
        <w:rPr>
          <w:rStyle w:val="19"/>
          <w:rFonts w:hint="eastAsia" w:ascii="仿宋" w:hAnsi="仿宋" w:eastAsia="仿宋"/>
          <w:b w:val="0"/>
          <w:bCs w:val="0"/>
          <w:color w:val="auto"/>
          <w:highlight w:val="none"/>
          <w:lang w:eastAsia="zh-CN"/>
        </w:rPr>
        <w:t>财政拨款收入</w:t>
      </w:r>
      <w:r>
        <w:rPr>
          <w:rStyle w:val="19"/>
          <w:rFonts w:hint="eastAsia" w:ascii="仿宋" w:hAnsi="仿宋" w:eastAsia="仿宋"/>
          <w:b w:val="0"/>
          <w:bCs w:val="0"/>
          <w:color w:val="auto"/>
          <w:highlight w:val="none"/>
        </w:rPr>
        <w:t>支出决算表</w:t>
      </w:r>
    </w:p>
    <w:p>
      <w:pPr>
        <w:pStyle w:val="4"/>
        <w:rPr>
          <w:rFonts w:ascii="仿宋" w:hAnsi="仿宋" w:eastAsia="仿宋"/>
          <w:color w:val="auto"/>
          <w:highlight w:val="none"/>
        </w:rPr>
      </w:pPr>
      <w:r>
        <w:rPr>
          <w:rStyle w:val="19"/>
          <w:rFonts w:hint="eastAsia" w:ascii="仿宋" w:hAnsi="仿宋" w:eastAsia="仿宋"/>
          <w:b w:val="0"/>
          <w:bCs w:val="0"/>
          <w:color w:val="auto"/>
          <w:highlight w:val="none"/>
        </w:rPr>
        <w:t>十二、</w:t>
      </w:r>
      <w:r>
        <w:rPr>
          <w:rStyle w:val="19"/>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r>
        <w:rPr>
          <w:rStyle w:val="19"/>
          <w:rFonts w:hint="eastAsia" w:ascii="仿宋" w:hAnsi="仿宋" w:eastAsia="仿宋"/>
          <w:b w:val="0"/>
          <w:bCs w:val="0"/>
          <w:color w:val="auto"/>
          <w:highlight w:val="none"/>
        </w:rPr>
        <w:t>十三、</w:t>
      </w:r>
      <w:r>
        <w:rPr>
          <w:rStyle w:val="19"/>
          <w:rFonts w:hint="eastAsia" w:ascii="仿宋" w:hAnsi="仿宋" w:eastAsia="仿宋"/>
          <w:b w:val="0"/>
          <w:bCs w:val="0"/>
          <w:color w:val="auto"/>
          <w:highlight w:val="none"/>
          <w:lang w:eastAsia="zh-CN"/>
        </w:rPr>
        <w:t>财政拨款“三公”经费支出决算表</w:t>
      </w:r>
    </w:p>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abstractNum w:abstractNumId="1">
    <w:nsid w:val="768C7063"/>
    <w:multiLevelType w:val="singleLevel"/>
    <w:tmpl w:val="768C706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00000000"/>
    <w:rsid w:val="11AF0294"/>
    <w:rsid w:val="175956CC"/>
    <w:rsid w:val="1AC551C5"/>
    <w:rsid w:val="20FC68CC"/>
    <w:rsid w:val="2CA329A4"/>
    <w:rsid w:val="36F909D9"/>
    <w:rsid w:val="408A590A"/>
    <w:rsid w:val="4A7F7A0F"/>
    <w:rsid w:val="59E630B3"/>
    <w:rsid w:val="646B7371"/>
    <w:rsid w:val="6E203237"/>
    <w:rsid w:val="71A4391B"/>
    <w:rsid w:val="78401548"/>
    <w:rsid w:val="7ADD341A"/>
    <w:rsid w:val="7BFFE41D"/>
    <w:rsid w:val="7FAAE9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ascii="Times New Roman" w:hAnsi="Times New Roman" w:eastAsia="方正仿宋简体"/>
      <w:sz w:val="32"/>
    </w:r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Body Text"/>
    <w:basedOn w:val="1"/>
    <w:qFormat/>
    <w:uiPriority w:val="0"/>
    <w:pPr>
      <w:spacing w:before="0" w:after="140" w:line="276" w:lineRule="auto"/>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List"/>
    <w:basedOn w:val="6"/>
    <w:qFormat/>
    <w:uiPriority w:val="0"/>
  </w:style>
  <w:style w:type="paragraph" w:styleId="13">
    <w:name w:val="footnote text"/>
    <w:basedOn w:val="1"/>
    <w:next w:val="8"/>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customStyle="1" w:styleId="18">
    <w:name w:val="标题 1 Char"/>
    <w:basedOn w:val="16"/>
    <w:link w:val="3"/>
    <w:qFormat/>
    <w:uiPriority w:val="9"/>
    <w:rPr>
      <w:b/>
      <w:bCs/>
      <w:kern w:val="44"/>
      <w:sz w:val="44"/>
      <w:szCs w:val="44"/>
    </w:rPr>
  </w:style>
  <w:style w:type="character" w:customStyle="1" w:styleId="19">
    <w:name w:val="标题 2 Char"/>
    <w:basedOn w:val="16"/>
    <w:link w:val="4"/>
    <w:qFormat/>
    <w:uiPriority w:val="9"/>
    <w:rPr>
      <w:rFonts w:ascii="Cambria" w:hAnsi="Cambria" w:eastAsia="宋体" w:cs="Times New Roman"/>
      <w:b/>
      <w:bCs/>
      <w:sz w:val="32"/>
      <w:szCs w:val="32"/>
    </w:rPr>
  </w:style>
  <w:style w:type="character" w:customStyle="1" w:styleId="20">
    <w:name w:val="默认段落字体1"/>
    <w:qFormat/>
    <w:uiPriority w:val="0"/>
  </w:style>
  <w:style w:type="paragraph" w:customStyle="1" w:styleId="21">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2">
    <w:name w:val="Index"/>
    <w:basedOn w:val="1"/>
    <w:qFormat/>
    <w:uiPriority w:val="0"/>
    <w:pPr>
      <w:widowControl w:val="0"/>
      <w:suppressLineNumbers/>
      <w:suppressAutoHyphens/>
    </w:pPr>
  </w:style>
  <w:style w:type="paragraph" w:styleId="23">
    <w:name w:val="List Paragraph"/>
    <w:basedOn w:val="1"/>
    <w:qFormat/>
    <w:uiPriority w:val="34"/>
    <w:pPr>
      <w:ind w:firstLine="420" w:firstLineChars="200"/>
    </w:p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收、支总计</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收、支总计</c:v>
                </c:pt>
              </c:strCache>
            </c:strRef>
          </c:tx>
          <c:spPr>
            <a:solidFill>
              <a:schemeClr val="accent1"/>
            </a:solidFill>
            <a:ln>
              <a:noFill/>
            </a:ln>
            <a:effectLst/>
          </c:spPr>
          <c:invertIfNegative val="false"/>
          <c:dLbls>
            <c:delete val="true"/>
          </c:dLbls>
          <c:cat>
            <c:numRef>
              <c:f>Sheet1!$A$2:$A$3</c:f>
              <c:numCache>
                <c:formatCode>General</c:formatCode>
                <c:ptCount val="2"/>
                <c:pt idx="0">
                  <c:v>2022</c:v>
                </c:pt>
                <c:pt idx="1">
                  <c:v>2023</c:v>
                </c:pt>
              </c:numCache>
            </c:numRef>
          </c:cat>
          <c:val>
            <c:numRef>
              <c:f>Sheet1!$B$2:$B$3</c:f>
              <c:numCache>
                <c:formatCode>General</c:formatCode>
                <c:ptCount val="2"/>
                <c:pt idx="0">
                  <c:v>1672.21</c:v>
                </c:pt>
                <c:pt idx="1">
                  <c:v>1415.03</c:v>
                </c:pt>
              </c:numCache>
            </c:numRef>
          </c:val>
        </c:ser>
        <c:ser>
          <c:idx val="1"/>
          <c:order val="1"/>
          <c:tx>
            <c:strRef>
              <c:f>Sheet1!#REF!</c:f>
              <c:strCache>
                <c:ptCount val="1"/>
                <c:pt idx="0">
                  <c:v/>
                </c:pt>
              </c:strCache>
            </c:strRef>
          </c:tx>
          <c:spPr>
            <a:solidFill>
              <a:schemeClr val="accent2"/>
            </a:solidFill>
            <a:ln>
              <a:noFill/>
            </a:ln>
            <a:effectLst/>
          </c:spPr>
          <c:invertIfNegative val="false"/>
          <c:dLbls>
            <c:delete val="true"/>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46"/>
        <c:overlap val="-28"/>
        <c:axId val="84416487"/>
        <c:axId val="577108107"/>
      </c:barChart>
      <c:catAx>
        <c:axId val="8441648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7108107"/>
        <c:crosses val="autoZero"/>
        <c:auto val="true"/>
        <c:lblAlgn val="ctr"/>
        <c:lblOffset val="100"/>
        <c:noMultiLvlLbl val="false"/>
      </c:catAx>
      <c:valAx>
        <c:axId val="577108107"/>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4416487"/>
        <c:crosses val="autoZero"/>
        <c:crossBetween val="between"/>
      </c:valAx>
      <c:spPr>
        <a:noFill/>
        <a:ln>
          <a:noFill/>
        </a:ln>
        <a:effectLst/>
      </c:spPr>
    </c:plotArea>
    <c:legend>
      <c:legendPos val="b"/>
      <c:legendEntry>
        <c:idx val="1"/>
        <c:delete val="true"/>
      </c:legendEntry>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a:t>
            </a:r>
            <a:r>
              <a:rPr altLang="en-US"/>
              <a:t>年度本年收入</a:t>
            </a:r>
            <a:endParaRPr altLang="en-US"/>
          </a:p>
        </c:rich>
      </c:tx>
      <c:layout/>
      <c:overlay val="false"/>
      <c:spPr>
        <a:noFill/>
        <a:ln>
          <a:noFill/>
        </a:ln>
        <a:effectLst/>
      </c:spPr>
    </c:title>
    <c:autoTitleDeleted val="false"/>
    <c:plotArea>
      <c:layout/>
      <c:pieChart>
        <c:varyColors val="true"/>
        <c:ser>
          <c:idx val="0"/>
          <c:order val="0"/>
          <c:tx>
            <c:strRef>
              <c:f>Sheet1!$B$1</c:f>
              <c:strCache>
                <c:ptCount val="1"/>
                <c:pt idx="0">
                  <c:v>2023年度本年收入</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elete val="true"/>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1414.35</c:v>
                </c:pt>
                <c:pt idx="1">
                  <c:v>0.68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tx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2023年度本年支出</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elete val="true"/>
          </c:dLbls>
          <c:cat>
            <c:strRef>
              <c:f>Sheet1!$A$2:$A$3</c:f>
              <c:strCache>
                <c:ptCount val="2"/>
                <c:pt idx="0">
                  <c:v>基本支出</c:v>
                </c:pt>
                <c:pt idx="1">
                  <c:v>项目支出</c:v>
                </c:pt>
              </c:strCache>
            </c:strRef>
          </c:cat>
          <c:val>
            <c:numRef>
              <c:f>Sheet1!$B$2:$B$3</c:f>
              <c:numCache>
                <c:formatCode>General</c:formatCode>
                <c:ptCount val="2"/>
                <c:pt idx="0">
                  <c:v>635.35</c:v>
                </c:pt>
                <c:pt idx="1">
                  <c:v>779.68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财政拨款收入支出情况</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财政拨款收入支出决算总体情况说明</c:v>
                </c:pt>
              </c:strCache>
            </c:strRef>
          </c:tx>
          <c:spPr>
            <a:solidFill>
              <a:schemeClr val="accent1"/>
            </a:solidFill>
            <a:ln>
              <a:noFill/>
            </a:ln>
            <a:effectLst/>
          </c:spPr>
          <c:invertIfNegative val="false"/>
          <c:dLbls>
            <c:delete val="true"/>
          </c:dLbls>
          <c:cat>
            <c:strRef>
              <c:f>Sheet1!$A$2:$A$3</c:f>
              <c:strCache>
                <c:ptCount val="2"/>
                <c:pt idx="0">
                  <c:v>2023年度财政拨款</c:v>
                </c:pt>
                <c:pt idx="1">
                  <c:v>2022年度财政拨款</c:v>
                </c:pt>
              </c:strCache>
            </c:strRef>
          </c:cat>
          <c:val>
            <c:numRef>
              <c:f>Sheet1!$B$2:$B$3</c:f>
              <c:numCache>
                <c:formatCode>General</c:formatCode>
                <c:ptCount val="2"/>
                <c:pt idx="0">
                  <c:v>1415.03</c:v>
                </c:pt>
                <c:pt idx="1">
                  <c:v>1672.21</c:v>
                </c:pt>
              </c:numCache>
            </c:numRef>
          </c:val>
        </c:ser>
        <c:ser>
          <c:idx val="1"/>
          <c:order val="1"/>
          <c:tx>
            <c:strRef>
              <c:f>Sheet1!$C$1</c:f>
              <c:strCache>
                <c:ptCount val="1"/>
                <c:pt idx="0">
                  <c:v>系列 2</c:v>
                </c:pt>
              </c:strCache>
            </c:strRef>
          </c:tx>
          <c:spPr>
            <a:solidFill>
              <a:schemeClr val="accent2"/>
            </a:solidFill>
            <a:ln>
              <a:noFill/>
            </a:ln>
            <a:effectLst/>
          </c:spPr>
          <c:invertIfNegative val="false"/>
          <c:dLbls>
            <c:delete val="true"/>
          </c:dLbls>
          <c:cat>
            <c:strRef>
              <c:f>Sheet1!$A$2:$A$3</c:f>
              <c:strCache>
                <c:ptCount val="2"/>
                <c:pt idx="0">
                  <c:v>2023年度财政拨款</c:v>
                </c:pt>
                <c:pt idx="1">
                  <c:v>2022年度财政拨款</c:v>
                </c:pt>
              </c:strCache>
            </c:strRef>
          </c:cat>
          <c:val>
            <c:numRef>
              <c:f>Sheet1!$C$2:$C$3</c:f>
              <c:numCache>
                <c:formatCode>General</c:formatCode>
                <c:ptCount val="2"/>
                <c:pt idx="0">
                  <c:v>2.4</c:v>
                </c:pt>
                <c:pt idx="1">
                  <c:v>4.4</c:v>
                </c:pt>
              </c:numCache>
            </c:numRef>
          </c:val>
        </c:ser>
        <c:ser>
          <c:idx val="2"/>
          <c:order val="2"/>
          <c:tx>
            <c:strRef>
              <c:f>Sheet1!$D$1</c:f>
              <c:strCache>
                <c:ptCount val="1"/>
                <c:pt idx="0">
                  <c:v>系列 3</c:v>
                </c:pt>
              </c:strCache>
            </c:strRef>
          </c:tx>
          <c:spPr>
            <a:solidFill>
              <a:schemeClr val="accent3"/>
            </a:solidFill>
            <a:ln>
              <a:noFill/>
            </a:ln>
            <a:effectLst/>
          </c:spPr>
          <c:invertIfNegative val="false"/>
          <c:dLbls>
            <c:delete val="true"/>
          </c:dLbls>
          <c:cat>
            <c:strRef>
              <c:f>Sheet1!$A$2:$A$3</c:f>
              <c:strCache>
                <c:ptCount val="2"/>
                <c:pt idx="0">
                  <c:v>2023年度财政拨款</c:v>
                </c:pt>
                <c:pt idx="1">
                  <c:v>2022年度财政拨款</c:v>
                </c:pt>
              </c:strCache>
            </c:strRef>
          </c:cat>
          <c:val>
            <c:numRef>
              <c:f>Sheet1!$D$2:$D$3</c:f>
              <c:numCache>
                <c:formatCode>General</c:formatCode>
                <c:ptCount val="2"/>
                <c:pt idx="0">
                  <c:v>2</c:v>
                </c:pt>
                <c:pt idx="1">
                  <c:v>2</c:v>
                </c:pt>
              </c:numCache>
            </c:numRef>
          </c:val>
        </c:ser>
        <c:dLbls>
          <c:showLegendKey val="false"/>
          <c:showVal val="false"/>
          <c:showCatName val="false"/>
          <c:showSerName val="false"/>
          <c:showPercent val="false"/>
          <c:showBubbleSize val="false"/>
        </c:dLbls>
        <c:gapWidth val="246"/>
        <c:overlap val="-28"/>
        <c:axId val="793396879"/>
        <c:axId val="75503029"/>
      </c:barChart>
      <c:catAx>
        <c:axId val="79339687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5503029"/>
        <c:crosses val="autoZero"/>
        <c:auto val="true"/>
        <c:lblAlgn val="ctr"/>
        <c:lblOffset val="100"/>
        <c:noMultiLvlLbl val="false"/>
      </c:catAx>
      <c:valAx>
        <c:axId val="75503029"/>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93396879"/>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一般公共预算财政拨款支出</c:v>
                </c:pt>
              </c:strCache>
            </c:strRef>
          </c:tx>
          <c:spPr>
            <a:solidFill>
              <a:schemeClr val="accent1"/>
            </a:solidFill>
            <a:ln>
              <a:noFill/>
            </a:ln>
            <a:effectLst/>
          </c:spPr>
          <c:invertIfNegative val="false"/>
          <c:dLbls>
            <c:delete val="true"/>
          </c:dLbls>
          <c:cat>
            <c:strRef>
              <c:f>Sheet1!$A$2:$A$3</c:f>
              <c:strCache>
                <c:ptCount val="2"/>
                <c:pt idx="0">
                  <c:v>2022年</c:v>
                </c:pt>
                <c:pt idx="1">
                  <c:v>2023年</c:v>
                </c:pt>
              </c:strCache>
            </c:strRef>
          </c:cat>
          <c:val>
            <c:numRef>
              <c:f>Sheet1!$B$2:$B$3</c:f>
              <c:numCache>
                <c:formatCode>General</c:formatCode>
                <c:ptCount val="2"/>
                <c:pt idx="0">
                  <c:v>1671.53</c:v>
                </c:pt>
                <c:pt idx="1">
                  <c:v>1414.35</c:v>
                </c:pt>
              </c:numCache>
            </c:numRef>
          </c:val>
        </c:ser>
        <c:ser>
          <c:idx val="1"/>
          <c:order val="1"/>
          <c:tx>
            <c:strRef>
              <c:f>Sheet1!#REF!</c:f>
              <c:strCache>
                <c:ptCount val="1"/>
                <c:pt idx="0">
                  <c:v/>
                </c:pt>
              </c:strCache>
            </c:strRef>
          </c:tx>
          <c:spPr>
            <a:solidFill>
              <a:schemeClr val="accent2"/>
            </a:solidFill>
            <a:ln>
              <a:noFill/>
            </a:ln>
            <a:effectLst/>
          </c:spPr>
          <c:invertIfNegative val="false"/>
          <c:dLbls>
            <c:delete val="true"/>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46"/>
        <c:overlap val="-28"/>
        <c:axId val="946994458"/>
        <c:axId val="362576605"/>
      </c:barChart>
      <c:catAx>
        <c:axId val="94699445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2576605"/>
        <c:crosses val="autoZero"/>
        <c:auto val="true"/>
        <c:lblAlgn val="ctr"/>
        <c:lblOffset val="100"/>
        <c:noMultiLvlLbl val="false"/>
      </c:catAx>
      <c:valAx>
        <c:axId val="362576605"/>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46994458"/>
        <c:crosses val="autoZero"/>
        <c:crossBetween val="between"/>
      </c:valAx>
      <c:spPr>
        <a:noFill/>
        <a:ln>
          <a:noFill/>
        </a:ln>
        <a:effectLst/>
      </c:spPr>
    </c:plotArea>
    <c:legend>
      <c:legendPos val="b"/>
      <c:legendEntry>
        <c:idx val="1"/>
        <c:delete val="true"/>
      </c:legendEntry>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tx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一般公共预算财政拨款支出决算结构情况</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Pt>
            <c:idx val="4"/>
            <c:bubble3D val="false"/>
            <c:spPr>
              <a:solidFill>
                <a:schemeClr val="accent5"/>
              </a:solidFill>
              <a:ln>
                <a:solidFill>
                  <a:schemeClr val="bg1"/>
                </a:solidFill>
              </a:ln>
              <a:effectLst/>
            </c:spPr>
          </c:dPt>
          <c:dPt>
            <c:idx val="5"/>
            <c:bubble3D val="false"/>
            <c:spPr>
              <a:solidFill>
                <a:schemeClr val="accent6"/>
              </a:solidFill>
              <a:ln>
                <a:solidFill>
                  <a:schemeClr val="bg1"/>
                </a:solidFill>
              </a:ln>
              <a:effectLst/>
            </c:spPr>
          </c:dPt>
          <c:dPt>
            <c:idx val="6"/>
            <c:bubble3D val="false"/>
            <c:spPr>
              <a:solidFill>
                <a:schemeClr val="accent1">
                  <a:lumMod val="60000"/>
                </a:schemeClr>
              </a:solidFill>
              <a:ln>
                <a:solidFill>
                  <a:schemeClr val="bg1"/>
                </a:solidFill>
              </a:ln>
              <a:effectLst/>
            </c:spPr>
          </c:dPt>
          <c:dPt>
            <c:idx val="7"/>
            <c:bubble3D val="false"/>
            <c:spPr>
              <a:solidFill>
                <a:schemeClr val="accent2">
                  <a:lumMod val="60000"/>
                </a:schemeClr>
              </a:solidFill>
              <a:ln>
                <a:solidFill>
                  <a:schemeClr val="bg1"/>
                </a:solidFill>
              </a:ln>
              <a:effectLst/>
            </c:spPr>
          </c:dPt>
          <c:dPt>
            <c:idx val="8"/>
            <c:bubble3D val="false"/>
            <c:spPr>
              <a:solidFill>
                <a:schemeClr val="accent3">
                  <a:lumMod val="60000"/>
                </a:schemeClr>
              </a:solidFill>
              <a:ln>
                <a:solidFill>
                  <a:schemeClr val="bg1"/>
                </a:solidFill>
              </a:ln>
              <a:effectLst/>
            </c:spPr>
          </c:dPt>
          <c:dPt>
            <c:idx val="9"/>
            <c:bubble3D val="false"/>
            <c:spPr>
              <a:solidFill>
                <a:schemeClr val="accent4">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Sheet1!$A$2:$A$11</c:f>
              <c:strCache>
                <c:ptCount val="10"/>
                <c:pt idx="0">
                  <c:v>一般公共服务支出</c:v>
                </c:pt>
                <c:pt idx="1">
                  <c:v>文化旅游体育与传媒支出</c:v>
                </c:pt>
                <c:pt idx="2">
                  <c:v>社会保障和就业支出</c:v>
                </c:pt>
                <c:pt idx="3">
                  <c:v>卫生健康支出</c:v>
                </c:pt>
                <c:pt idx="4">
                  <c:v>住房保障支出</c:v>
                </c:pt>
                <c:pt idx="5">
                  <c:v>公共安全支出</c:v>
                </c:pt>
                <c:pt idx="6">
                  <c:v>节能环保支出</c:v>
                </c:pt>
                <c:pt idx="7">
                  <c:v>城乡社区支出</c:v>
                </c:pt>
                <c:pt idx="8">
                  <c:v>农林水支出</c:v>
                </c:pt>
                <c:pt idx="9">
                  <c:v>灾害防治及应急管理支出</c:v>
                </c:pt>
              </c:strCache>
            </c:strRef>
          </c:cat>
          <c:val>
            <c:numRef>
              <c:f>Sheet1!$B$2:$B$11</c:f>
              <c:numCache>
                <c:formatCode>General</c:formatCode>
                <c:ptCount val="10"/>
                <c:pt idx="0">
                  <c:v>548.38</c:v>
                </c:pt>
                <c:pt idx="1">
                  <c:v>4.9</c:v>
                </c:pt>
                <c:pt idx="2">
                  <c:v>89.03</c:v>
                </c:pt>
                <c:pt idx="3">
                  <c:v>179.34</c:v>
                </c:pt>
                <c:pt idx="4">
                  <c:v>43.68</c:v>
                </c:pt>
                <c:pt idx="5">
                  <c:v>4.6</c:v>
                </c:pt>
                <c:pt idx="6">
                  <c:v>15.76</c:v>
                </c:pt>
                <c:pt idx="7">
                  <c:v>528.83</c:v>
                </c:pt>
                <c:pt idx="8">
                  <c:v>0.18</c:v>
                </c:pt>
                <c:pt idx="9">
                  <c:v>4.93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0138922445035033"/>
          <c:y val="0.864967138020315"/>
          <c:w val="0.96677941531771"/>
          <c:h val="0.10914160525791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24927</Words>
  <Characters>28865</Characters>
  <TotalTime>7</TotalTime>
  <ScaleCrop>false</ScaleCrop>
  <LinksUpToDate>false</LinksUpToDate>
  <CharactersWithSpaces>28926</CharactersWithSpaces>
  <Application>WPS Office_11.8.2.10183_F1E327BC-269C-435d-A152-05C5408002CA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user</dc:creator>
  <cp:lastModifiedBy>dzb</cp:lastModifiedBy>
  <dcterms:modified xsi:type="dcterms:W3CDTF">2024-12-19T15:38:48Z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4EB04A0EB8FD45CE914030D71B92D67F_13</vt:lpwstr>
  </property>
</Properties>
</file>