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47" w:name="_GoBack"/>
      <w:bookmarkEnd w:id="47"/>
      <w:bookmarkStart w:id="0" w:name="_Toc15377425"/>
      <w:bookmarkStart w:id="1" w:name="_Toc15396475"/>
      <w:bookmarkStart w:id="2" w:name="_Toc15378441"/>
      <w:bookmarkStart w:id="3" w:name="_Toc15377193"/>
      <w:bookmarkStart w:id="4" w:name="_Toc15396597"/>
      <w:bookmarkStart w:id="5" w:name="_Toc15306267"/>
    </w:p>
    <w:p>
      <w:pPr>
        <w:pStyle w:val="6"/>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06268"/>
      <w:bookmarkStart w:id="7" w:name="_Toc15396598"/>
      <w:bookmarkStart w:id="8" w:name="_Toc15377426"/>
      <w:bookmarkStart w:id="9" w:name="_Toc15378442"/>
      <w:bookmarkStart w:id="10" w:name="_Toc15377194"/>
      <w:bookmarkStart w:id="11" w:name="_Toc15396476"/>
      <w:r>
        <w:rPr>
          <w:rFonts w:hint="eastAsia" w:ascii="方正小标宋简体" w:hAnsi="方正小标宋简体" w:eastAsia="方正小标宋简体" w:cs="方正小标宋简体"/>
          <w:sz w:val="72"/>
          <w:szCs w:val="72"/>
          <w:lang w:eastAsia="zh-CN"/>
        </w:rPr>
        <w:t>遂宁市经济技术开发区总工会</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8</w:t>
      </w:r>
      <w:r>
        <w:rPr>
          <w:rFonts w:hint="eastAsia"/>
        </w:rPr>
        <w:t>月</w:t>
      </w:r>
      <w:r>
        <w:rPr>
          <w:rFonts w:hint="eastAsia"/>
          <w:lang w:val="en-US" w:eastAsia="zh-CN"/>
        </w:rPr>
        <w:t>22</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3"/>
        <w:adjustRightInd w:val="0"/>
        <w:snapToGrid w:val="0"/>
        <w:spacing w:line="440" w:lineRule="exact"/>
        <w:jc w:val="left"/>
        <w:rPr>
          <w:rFonts w:ascii="仿宋" w:hAnsi="仿宋" w:eastAsia="仿宋"/>
          <w:sz w:val="24"/>
        </w:rPr>
      </w:pPr>
      <w:r>
        <w:rPr>
          <w:rFonts w:hint="eastAsia"/>
          <w:sz w:val="24"/>
        </w:rPr>
        <w:t>一、部门职责</w:t>
      </w:r>
    </w:p>
    <w:p>
      <w:pPr>
        <w:pStyle w:val="13"/>
        <w:adjustRightInd w:val="0"/>
        <w:snapToGrid w:val="0"/>
        <w:spacing w:line="440" w:lineRule="exact"/>
        <w:jc w:val="left"/>
        <w:rPr>
          <w:rFonts w:ascii="仿宋" w:hAnsi="仿宋" w:eastAsia="仿宋" w:cstheme="minorBidi"/>
          <w:sz w:val="24"/>
        </w:rPr>
      </w:pPr>
      <w:r>
        <w:rPr>
          <w:rFonts w:hint="eastAsia"/>
          <w:sz w:val="24"/>
        </w:rPr>
        <w:t>二、机构设置</w:t>
      </w:r>
    </w:p>
    <w:p>
      <w:pPr>
        <w:pStyle w:val="12"/>
        <w:adjustRightInd w:val="0"/>
        <w:snapToGrid w:val="0"/>
        <w:spacing w:before="0" w:line="440" w:lineRule="exact"/>
        <w:jc w:val="left"/>
        <w:rPr>
          <w:sz w:val="24"/>
          <w:szCs w:val="24"/>
        </w:rPr>
      </w:pPr>
      <w:r>
        <w:rPr>
          <w:rFonts w:hint="eastAsia"/>
          <w:sz w:val="24"/>
        </w:rPr>
        <w:t>第二部分 2023年度部门决算情况说明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9"/>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0"/>
        </w:numPr>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一、部门职责</w:t>
      </w:r>
    </w:p>
    <w:p>
      <w:pPr>
        <w:numPr>
          <w:ilvl w:val="0"/>
          <w:numId w:val="0"/>
        </w:numP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1.具体负责贯彻执行工会工作的方针、政策，贯彻执行区工会代表大会和执委会议确定的任务和决议。</w:t>
      </w:r>
    </w:p>
    <w:p>
      <w:pP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2.依照法律和《中国工会章程》独立自主开展工作，履行维护职工合法权益的职能。</w:t>
      </w:r>
    </w:p>
    <w:p>
      <w:pP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3.参与劳动关系矛盾纠纷的协调处置和职工重大伤亡事故的调查处理。</w:t>
      </w:r>
    </w:p>
    <w:p>
      <w:pP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4.代表和组织职工参与社会事务管理，参与企事业和机关的民主管理。贯彻落实意识形态工作责任制，承担对广大职工的政治引领和思想引导。</w:t>
      </w:r>
    </w:p>
    <w:p>
      <w:pP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5.动员组织职工开展技能比武、建功立业劳动竞赛等活动。承担全国、省、市劳动模范和全国、省、市五一劳动奖、工人先锋号和遂宁工匠获得者的推荐、评选、表彰和管理工作。</w:t>
      </w:r>
    </w:p>
    <w:p>
      <w:pP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6.指导全区工会组织建设，推动镇（街道）、村（社区）、非公企业、新建企业、两新组织等基层工会组织建设。</w:t>
      </w:r>
    </w:p>
    <w:p>
      <w:pP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7.研究制订工会组织举办职工劳动福利的有关制度和规定，负责对工会举办的职工劳动福利的指导协调工作。</w:t>
      </w:r>
    </w:p>
    <w:p>
      <w:pP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8.认真贯彻落实全国、省、市工会财务管理制度，对资金分类管理，专款专用，程序资料合法合规。指导各级工会管好用好资金，突出资金使用绩效。</w:t>
      </w:r>
    </w:p>
    <w:p>
      <w:pPr>
        <w:ind w:firstLine="640" w:firstLineChars="200"/>
        <w:rPr>
          <w:rFonts w:hint="eastAsia"/>
          <w:lang w:eastAsia="zh-CN"/>
        </w:rPr>
      </w:pPr>
      <w:r>
        <w:rPr>
          <w:rFonts w:hint="eastAsia" w:ascii="仿宋" w:hAnsi="仿宋" w:eastAsia="仿宋" w:cs="Times New Roman"/>
          <w:color w:val="auto"/>
          <w:sz w:val="32"/>
          <w:szCs w:val="32"/>
          <w:highlight w:val="none"/>
          <w:lang w:val="en-US" w:eastAsia="zh-CN"/>
        </w:rPr>
        <w:t>9.严格按照审计规程，对工会各类资金使用进行监督。按照“下审一级”的工作要求，对镇（街道）、企事业单位进行审计，形成审计报告，推动工会资金规范安全合理使用。</w:t>
      </w:r>
    </w:p>
    <w:p>
      <w:pPr>
        <w:pStyle w:val="4"/>
        <w:numPr>
          <w:ilvl w:val="0"/>
          <w:numId w:val="0"/>
        </w:numPr>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p>
      <w:pPr>
        <w:rPr>
          <w:rFonts w:ascii="仿宋" w:hAnsi="仿宋" w:eastAsia="仿宋"/>
          <w:color w:val="auto"/>
          <w:kern w:val="0"/>
          <w:sz w:val="32"/>
          <w:szCs w:val="32"/>
          <w:highlight w:val="none"/>
        </w:rPr>
      </w:pPr>
      <w:r>
        <w:rPr>
          <w:rFonts w:hint="eastAsia" w:ascii="仿宋" w:hAnsi="仿宋" w:eastAsia="仿宋" w:cs="Times New Roman"/>
          <w:color w:val="auto"/>
          <w:sz w:val="32"/>
          <w:szCs w:val="32"/>
          <w:highlight w:val="none"/>
          <w:lang w:val="en-US" w:eastAsia="zh-CN"/>
        </w:rPr>
        <w:t xml:space="preserve">    机构设置：主席、副主席、经审委主任、女工委主任</w:t>
      </w:r>
    </w:p>
    <w:p>
      <w:pPr>
        <w:widowControl/>
        <w:jc w:val="left"/>
        <w:rPr>
          <w:rFonts w:ascii="仿宋" w:hAnsi="仿宋" w:eastAsia="仿宋"/>
          <w:kern w:val="0"/>
          <w:sz w:val="32"/>
          <w:szCs w:val="32"/>
        </w:rPr>
      </w:pPr>
    </w:p>
    <w:p>
      <w:pPr>
        <w:pStyle w:val="3"/>
        <w:ind w:right="440"/>
        <w:jc w:val="center"/>
        <w:rPr>
          <w:rStyle w:val="29"/>
          <w:rFonts w:ascii="黑体" w:hAnsi="黑体" w:eastAsia="黑体"/>
          <w:b w:val="0"/>
          <w:bCs/>
        </w:rPr>
      </w:pPr>
      <w:bookmarkStart w:id="14" w:name="_Toc15377204"/>
      <w:bookmarkStart w:id="15" w:name="_Toc15396602"/>
      <w:r>
        <w:rPr>
          <w:rFonts w:hint="eastAsia" w:ascii="黑体" w:hAnsi="黑体" w:eastAsia="黑体"/>
          <w:b w:val="0"/>
        </w:rPr>
        <w:t>第二部分 2023年度</w:t>
      </w:r>
      <w:r>
        <w:rPr>
          <w:rStyle w:val="29"/>
          <w:rFonts w:hint="eastAsia" w:ascii="黑体" w:hAnsi="黑体" w:eastAsia="黑体"/>
          <w:b w:val="0"/>
          <w:bCs/>
        </w:rPr>
        <w:t>部门决算情况说明</w:t>
      </w:r>
      <w:bookmarkEnd w:id="14"/>
      <w:bookmarkEnd w:id="15"/>
    </w:p>
    <w:p/>
    <w:p>
      <w:pPr>
        <w:pStyle w:val="28"/>
        <w:numPr>
          <w:ilvl w:val="0"/>
          <w:numId w:val="2"/>
        </w:numPr>
        <w:spacing w:line="600" w:lineRule="exact"/>
        <w:ind w:firstLineChars="0"/>
        <w:outlineLvl w:val="1"/>
        <w:rPr>
          <w:rStyle w:val="30"/>
          <w:rFonts w:ascii="黑体" w:hAnsi="黑体" w:eastAsia="黑体"/>
          <w:b w:val="0"/>
        </w:rPr>
      </w:pPr>
      <w:bookmarkStart w:id="16" w:name="_Toc15377205"/>
      <w:bookmarkStart w:id="17"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16"/>
      <w:bookmarkEnd w:id="17"/>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sz w:val="32"/>
          <w:szCs w:val="32"/>
        </w:rPr>
        <w:t>38.47</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与2022年度相比，收、支总计各增加</w:t>
      </w:r>
      <w:r>
        <w:rPr>
          <w:rFonts w:hint="eastAsia" w:ascii="仿宋" w:hAnsi="仿宋" w:eastAsia="仿宋"/>
          <w:sz w:val="32"/>
          <w:szCs w:val="32"/>
          <w:lang w:val="en-US" w:eastAsia="zh-CN"/>
        </w:rPr>
        <w:t>15.54</w:t>
      </w:r>
      <w:r>
        <w:rPr>
          <w:rFonts w:hint="eastAsia" w:ascii="仿宋" w:hAnsi="仿宋" w:eastAsia="仿宋"/>
          <w:sz w:val="32"/>
          <w:szCs w:val="32"/>
        </w:rPr>
        <w:t>万元，增长</w:t>
      </w:r>
      <w:r>
        <w:rPr>
          <w:rFonts w:hint="eastAsia" w:ascii="仿宋" w:hAnsi="仿宋" w:eastAsia="仿宋"/>
          <w:sz w:val="32"/>
          <w:szCs w:val="32"/>
          <w:lang w:val="en-US" w:eastAsia="zh-CN"/>
        </w:rPr>
        <w:t>60.83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增</w:t>
      </w:r>
      <w:r>
        <w:rPr>
          <w:rFonts w:hint="eastAsia" w:ascii="仿宋" w:hAnsi="仿宋" w:eastAsia="仿宋"/>
          <w:color w:val="auto"/>
          <w:sz w:val="32"/>
          <w:szCs w:val="32"/>
          <w:highlight w:val="none"/>
          <w:lang w:val="en-US" w:eastAsia="zh-CN"/>
        </w:rPr>
        <w:t>加了财政补贴</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0"/>
        <w:rPr>
          <w:rFonts w:ascii="仿宋_GB2312" w:eastAsia="仿宋_GB2312"/>
          <w:sz w:val="32"/>
          <w:szCs w:val="32"/>
        </w:rPr>
      </w:pPr>
    </w:p>
    <w:p>
      <w:pPr>
        <w:rPr>
          <w:rFonts w:ascii="仿宋_GB2312" w:eastAsia="仿宋_GB2312"/>
          <w:sz w:val="32"/>
          <w:szCs w:val="32"/>
        </w:rPr>
      </w:pPr>
      <w:r>
        <w:rPr>
          <w:rFonts w:ascii="仿宋_GB2312" w:eastAsia="仿宋_GB2312"/>
          <w:color w:val="000000"/>
          <w:sz w:val="32"/>
          <w:szCs w:val="32"/>
        </w:rPr>
        <w:pict>
          <v:shape id="对象 9" o:spid="_x0000_s1026" o:spt="75" type="#_x0000_t75" style="position:absolute;left:0pt;margin-left:0.5pt;margin-top:-68.4pt;height:160.6pt;width:394.8pt;z-index:251659264;mso-width-relative:page;mso-height-relative:page;" o:ole="t" filled="f" o:preferrelative="t" stroked="f" coordsize="21600,21600">
            <v:path/>
            <v:fill on="f" focussize="0,0"/>
            <v:stroke on="f"/>
            <v:imagedata r:id="rId7" o:title=""/>
            <o:lock v:ext="edit" aspectratio="t"/>
          </v:shape>
          <o:OLEObject Type="Embed" ProgID="Excel.Sheet.12" ShapeID="对象 9" DrawAspect="Content" ObjectID="_1468075725" r:id="rId6">
            <o:LockedField>false</o:LockedField>
          </o:OLEObject>
        </w:pict>
      </w:r>
    </w:p>
    <w:p>
      <w:pPr>
        <w:pStyle w:val="20"/>
        <w:rPr>
          <w:rFonts w:ascii="仿宋_GB2312" w:eastAsia="仿宋_GB2312"/>
          <w:sz w:val="32"/>
          <w:szCs w:val="32"/>
        </w:rPr>
      </w:pPr>
    </w:p>
    <w:p/>
    <w:p>
      <w:pPr>
        <w:pStyle w:val="28"/>
        <w:numPr>
          <w:ilvl w:val="0"/>
          <w:numId w:val="2"/>
        </w:numPr>
        <w:spacing w:line="600" w:lineRule="exact"/>
        <w:ind w:firstLineChars="0"/>
        <w:outlineLvl w:val="1"/>
        <w:rPr>
          <w:rStyle w:val="30"/>
          <w:rFonts w:ascii="黑体" w:hAnsi="黑体" w:eastAsia="黑体"/>
          <w:b w:val="0"/>
        </w:rPr>
      </w:pPr>
      <w:bookmarkStart w:id="18" w:name="_Toc15377206"/>
      <w:bookmarkStart w:id="19" w:name="_Toc15396604"/>
      <w:r>
        <w:rPr>
          <w:rFonts w:hint="eastAsia" w:ascii="黑体" w:hAnsi="黑体" w:eastAsia="黑体"/>
          <w:sz w:val="32"/>
          <w:szCs w:val="32"/>
        </w:rPr>
        <w:t>收</w:t>
      </w:r>
      <w:r>
        <w:rPr>
          <w:rStyle w:val="30"/>
          <w:rFonts w:hint="eastAsia" w:ascii="黑体" w:hAnsi="黑体" w:eastAsia="黑体"/>
          <w:b w:val="0"/>
        </w:rPr>
        <w:t>入决算情况说明</w:t>
      </w:r>
      <w:bookmarkEnd w:id="18"/>
      <w:bookmarkEnd w:id="19"/>
    </w:p>
    <w:p>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38.47</w:t>
      </w:r>
      <w:r>
        <w:rPr>
          <w:rFonts w:hint="eastAsia" w:ascii="仿宋" w:hAnsi="仿宋" w:eastAsia="仿宋"/>
          <w:sz w:val="32"/>
          <w:szCs w:val="32"/>
        </w:rPr>
        <w:t>万元，其中：一般公共预算财政拨款收入</w:t>
      </w:r>
      <w:r>
        <w:rPr>
          <w:sz w:val="32"/>
          <w:szCs w:val="32"/>
        </w:rPr>
        <w:t>38.47</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_GB2312" w:eastAsia="仿宋_GB2312"/>
          <w:sz w:val="32"/>
          <w:szCs w:val="32"/>
        </w:rPr>
      </w:pPr>
      <w:r>
        <w:rPr>
          <w:rFonts w:hint="eastAsia" w:ascii="Times New Roman" w:hAnsi="Times New Roman" w:eastAsia="仿宋_GB2312" w:cs="Times New Roman"/>
          <w:b w:val="0"/>
          <w:bCs/>
          <w:sz w:val="32"/>
          <w:szCs w:val="32"/>
          <w:lang w:val="en-US" w:eastAsia="zh-CN"/>
        </w:rPr>
        <w:pict>
          <v:shape id="Object 4" o:spid="_x0000_s1027" o:spt="75" type="#_x0000_t75" style="position:absolute;left:0pt;margin-left:6.65pt;margin-top:19.65pt;height:142.5pt;width:349.15pt;z-index:251660288;mso-width-relative:page;mso-height-relative:page;" o:ole="t" filled="f" o:preferrelative="t" stroked="f" coordsize="21600,21600">
            <v:path/>
            <v:fill on="f" focussize="0,0"/>
            <v:stroke on="f"/>
            <v:imagedata r:id="rId9" o:title=""/>
            <o:lock v:ext="edit" aspectratio="t"/>
          </v:shape>
          <o:OLEObject Type="Embed" ProgID="Excel.Sheet.12" ShapeID="Object 4" DrawAspect="Content" ObjectID="_1468075726" r:id="rId8">
            <o:LockedField>false</o:LockedField>
          </o:OLEObject>
        </w:pic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pStyle w:val="28"/>
        <w:numPr>
          <w:ilvl w:val="0"/>
          <w:numId w:val="2"/>
        </w:numPr>
        <w:spacing w:line="600" w:lineRule="exact"/>
        <w:ind w:firstLineChars="0"/>
        <w:outlineLvl w:val="1"/>
        <w:rPr>
          <w:rStyle w:val="30"/>
          <w:rFonts w:ascii="黑体" w:hAnsi="黑体" w:eastAsia="黑体"/>
          <w:b w:val="0"/>
        </w:rPr>
      </w:pPr>
      <w:bookmarkStart w:id="20" w:name="_Toc15377207"/>
      <w:bookmarkStart w:id="21" w:name="_Toc15396605"/>
      <w:r>
        <w:rPr>
          <w:rFonts w:hint="eastAsia" w:ascii="黑体" w:hAnsi="黑体" w:eastAsia="黑体"/>
          <w:sz w:val="32"/>
          <w:szCs w:val="32"/>
        </w:rPr>
        <w:t>支</w:t>
      </w:r>
      <w:r>
        <w:rPr>
          <w:rStyle w:val="30"/>
          <w:rFonts w:hint="eastAsia" w:ascii="黑体" w:hAnsi="黑体" w:eastAsia="黑体"/>
          <w:b w:val="0"/>
        </w:rPr>
        <w:t>出决算情况说明</w:t>
      </w:r>
      <w:bookmarkEnd w:id="20"/>
      <w:bookmarkEnd w:id="21"/>
    </w:p>
    <w:p>
      <w:pPr>
        <w:spacing w:line="600" w:lineRule="exact"/>
        <w:ind w:firstLine="640" w:firstLineChars="200"/>
        <w:outlineLvl w:val="1"/>
        <w:rPr>
          <w:rFonts w:ascii="仿宋" w:hAnsi="仿宋" w:eastAsia="仿宋"/>
          <w:sz w:val="32"/>
          <w:szCs w:val="32"/>
          <w:shd w:val="pct10" w:color="auto" w:fill="FFFFFF"/>
        </w:rPr>
      </w:pPr>
      <w:r>
        <w:rPr>
          <w:rFonts w:hint="eastAsia" w:ascii="仿宋" w:hAnsi="仿宋" w:eastAsia="仿宋"/>
          <w:sz w:val="32"/>
          <w:szCs w:val="32"/>
        </w:rPr>
        <w:t>2023年度本年支出合计</w:t>
      </w:r>
      <w:r>
        <w:rPr>
          <w:sz w:val="32"/>
          <w:szCs w:val="32"/>
        </w:rPr>
        <w:t>38.47</w:t>
      </w:r>
      <w:r>
        <w:rPr>
          <w:rFonts w:hint="eastAsia" w:ascii="仿宋" w:hAnsi="仿宋" w:eastAsia="仿宋"/>
          <w:sz w:val="32"/>
          <w:szCs w:val="32"/>
        </w:rPr>
        <w:t>万元，其中：基本支出</w:t>
      </w:r>
      <w:r>
        <w:rPr>
          <w:sz w:val="32"/>
          <w:szCs w:val="32"/>
        </w:rPr>
        <w:t>8.47</w:t>
      </w:r>
      <w:r>
        <w:rPr>
          <w:rFonts w:hint="eastAsia" w:ascii="仿宋" w:hAnsi="仿宋" w:eastAsia="仿宋"/>
          <w:sz w:val="32"/>
          <w:szCs w:val="32"/>
        </w:rPr>
        <w:t>万元，占</w:t>
      </w:r>
      <w:r>
        <w:rPr>
          <w:sz w:val="32"/>
          <w:szCs w:val="32"/>
        </w:rPr>
        <w:t>22.0</w:t>
      </w:r>
      <w:r>
        <w:rPr>
          <w:rFonts w:hint="eastAsia"/>
          <w:sz w:val="32"/>
          <w:szCs w:val="32"/>
          <w:lang w:val="en-US" w:eastAsia="zh-CN"/>
        </w:rPr>
        <w:t>2</w:t>
      </w:r>
      <w:r>
        <w:rPr>
          <w:rFonts w:ascii="仿宋" w:hAnsi="仿宋" w:eastAsia="仿宋"/>
          <w:sz w:val="32"/>
          <w:szCs w:val="32"/>
        </w:rPr>
        <w:t>%</w:t>
      </w:r>
      <w:r>
        <w:rPr>
          <w:rFonts w:hint="eastAsia" w:ascii="仿宋" w:hAnsi="仿宋" w:eastAsia="仿宋"/>
          <w:sz w:val="32"/>
          <w:szCs w:val="32"/>
        </w:rPr>
        <w:t>；项目支出</w:t>
      </w:r>
      <w:r>
        <w:rPr>
          <w:sz w:val="32"/>
          <w:szCs w:val="32"/>
        </w:rPr>
        <w:t>30</w:t>
      </w:r>
      <w:r>
        <w:rPr>
          <w:rFonts w:hint="eastAsia" w:ascii="仿宋" w:hAnsi="仿宋" w:eastAsia="仿宋"/>
          <w:sz w:val="32"/>
          <w:szCs w:val="32"/>
        </w:rPr>
        <w:t>万元，占</w:t>
      </w:r>
      <w:r>
        <w:rPr>
          <w:sz w:val="32"/>
          <w:szCs w:val="32"/>
        </w:rPr>
        <w:t>77.98</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r>
        <w:rPr>
          <w:rFonts w:hint="eastAsia" w:ascii="Times New Roman" w:hAnsi="Times New Roman" w:eastAsia="仿宋_GB2312" w:cs="Times New Roman"/>
          <w:color w:val="000000"/>
          <w:sz w:val="32"/>
          <w:szCs w:val="32"/>
          <w:lang w:val="en-US" w:eastAsia="zh-CN"/>
        </w:rPr>
        <w:pict>
          <v:shape id="Object 6" o:spid="_x0000_s1028" o:spt="75" type="#_x0000_t75" style="position:absolute;left:0pt;margin-left:19pt;margin-top:15.45pt;height:130.25pt;width:378.65pt;z-index:251661312;mso-width-relative:page;mso-height-relative:page;" o:ole="t" filled="f" o:preferrelative="t" stroked="f" coordsize="21600,21600">
            <v:path/>
            <v:fill on="f" focussize="0,0"/>
            <v:stroke on="f"/>
            <v:imagedata r:id="rId11" o:title=""/>
            <o:lock v:ext="edit" aspectratio="t"/>
          </v:shape>
          <o:OLEObject Type="Embed" ProgID="Excel.Sheet.12" ShapeID="Object 6" DrawAspect="Content" ObjectID="_1468075727" r:id="rId10">
            <o:LockedField>false</o:LockedField>
          </o:OLEObject>
        </w:pic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0"/>
          <w:rFonts w:ascii="黑体" w:hAnsi="黑体" w:eastAsia="黑体"/>
          <w:b w:val="0"/>
        </w:rPr>
      </w:pPr>
      <w:bookmarkStart w:id="22" w:name="_Toc15377208"/>
      <w:bookmarkStart w:id="23"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2"/>
      <w:bookmarkEnd w:id="23"/>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2023年度财政拨款收、支总计均为</w:t>
      </w:r>
      <w:r>
        <w:rPr>
          <w:sz w:val="32"/>
          <w:szCs w:val="32"/>
        </w:rPr>
        <w:t>38.47</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15.54</w:t>
      </w:r>
      <w:r>
        <w:rPr>
          <w:rFonts w:hint="eastAsia" w:ascii="仿宋" w:hAnsi="仿宋" w:eastAsia="仿宋"/>
          <w:sz w:val="32"/>
          <w:szCs w:val="32"/>
        </w:rPr>
        <w:t>万元，增长</w:t>
      </w:r>
      <w:r>
        <w:rPr>
          <w:rFonts w:hint="eastAsia" w:ascii="仿宋" w:hAnsi="仿宋" w:eastAsia="仿宋"/>
          <w:sz w:val="32"/>
          <w:szCs w:val="32"/>
          <w:lang w:val="en-US" w:eastAsia="zh-CN"/>
        </w:rPr>
        <w:t>60.83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增</w:t>
      </w:r>
      <w:r>
        <w:rPr>
          <w:rFonts w:hint="eastAsia" w:ascii="仿宋" w:hAnsi="仿宋" w:eastAsia="仿宋"/>
          <w:color w:val="auto"/>
          <w:sz w:val="32"/>
          <w:szCs w:val="32"/>
          <w:highlight w:val="none"/>
          <w:lang w:val="en-US" w:eastAsia="zh-CN"/>
        </w:rPr>
        <w:t>加了财政补贴</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r>
        <w:rPr>
          <w:rFonts w:ascii="仿宋_GB2312" w:eastAsia="仿宋_GB2312"/>
          <w:color w:val="000000"/>
          <w:sz w:val="32"/>
          <w:szCs w:val="32"/>
        </w:rPr>
        <w:pict>
          <v:shape id="_x0000_s1029" o:spid="_x0000_s1029" o:spt="75" type="#_x0000_t75" style="position:absolute;left:0pt;margin-left:13.85pt;margin-top:12.9pt;height:160.65pt;width:394.85pt;z-index:251662336;mso-width-relative:page;mso-height-relative:page;" o:ole="t" filled="f" o:preferrelative="t" stroked="f" coordsize="21600,21600">
            <v:path/>
            <v:fill on="f" focussize="0,0"/>
            <v:stroke on="f"/>
            <v:imagedata r:id="rId13" o:title=""/>
            <o:lock v:ext="edit" aspectratio="t"/>
          </v:shape>
          <o:OLEObject Type="Embed" ProgID="Excel.Sheet.12" ShapeID="_x0000_s1029" DrawAspect="Content" ObjectID="_1468075728" r:id="rId12">
            <o:LockedField>false</o:LockedField>
          </o:OLEObject>
        </w:pict>
      </w: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firstLineChars="200"/>
        <w:outlineLvl w:val="1"/>
        <w:rPr>
          <w:rStyle w:val="30"/>
          <w:rFonts w:ascii="黑体" w:hAnsi="黑体" w:eastAsia="黑体"/>
          <w:b w:val="0"/>
        </w:rPr>
      </w:pPr>
      <w:bookmarkStart w:id="24" w:name="_Toc15377209"/>
      <w:bookmarkStart w:id="25"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4"/>
      <w:bookmarkEnd w:id="25"/>
    </w:p>
    <w:p>
      <w:pPr>
        <w:spacing w:line="600" w:lineRule="exact"/>
        <w:ind w:firstLine="642" w:firstLineChars="200"/>
        <w:outlineLvl w:val="2"/>
        <w:rPr>
          <w:rFonts w:ascii="仿宋" w:hAnsi="仿宋" w:eastAsia="仿宋"/>
          <w:b/>
          <w:sz w:val="32"/>
          <w:szCs w:val="32"/>
        </w:rPr>
      </w:pPr>
      <w:bookmarkStart w:id="26" w:name="_Toc15377210"/>
      <w:r>
        <w:rPr>
          <w:rFonts w:hint="eastAsia" w:ascii="仿宋" w:hAnsi="仿宋" w:eastAsia="仿宋"/>
          <w:b/>
          <w:sz w:val="32"/>
          <w:szCs w:val="32"/>
        </w:rPr>
        <w:t>（一）一般公共预算财政拨款支出决算总体情况</w:t>
      </w:r>
      <w:bookmarkEnd w:id="26"/>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38.47</w:t>
      </w:r>
      <w:r>
        <w:rPr>
          <w:rFonts w:hint="eastAsia" w:ascii="仿宋" w:hAnsi="仿宋" w:eastAsia="仿宋"/>
          <w:sz w:val="32"/>
          <w:szCs w:val="32"/>
        </w:rPr>
        <w:t>万元，占本年支出合计的</w:t>
      </w:r>
      <w:r>
        <w:rPr>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15.54</w:t>
      </w:r>
      <w:r>
        <w:rPr>
          <w:rFonts w:hint="eastAsia" w:ascii="仿宋" w:hAnsi="仿宋" w:eastAsia="仿宋"/>
          <w:sz w:val="32"/>
          <w:szCs w:val="32"/>
        </w:rPr>
        <w:t>万元，增长</w:t>
      </w:r>
      <w:r>
        <w:rPr>
          <w:rFonts w:hint="eastAsia" w:ascii="仿宋" w:hAnsi="仿宋" w:eastAsia="仿宋"/>
          <w:sz w:val="32"/>
          <w:szCs w:val="32"/>
          <w:lang w:val="en-US" w:eastAsia="zh-CN"/>
        </w:rPr>
        <w:t>60.83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增</w:t>
      </w:r>
      <w:r>
        <w:rPr>
          <w:rFonts w:hint="eastAsia" w:ascii="仿宋" w:hAnsi="仿宋" w:eastAsia="仿宋"/>
          <w:color w:val="auto"/>
          <w:sz w:val="32"/>
          <w:szCs w:val="32"/>
          <w:highlight w:val="none"/>
          <w:lang w:val="en-US" w:eastAsia="zh-CN"/>
        </w:rPr>
        <w:t>加了财政补贴</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r>
        <w:rPr>
          <w:rFonts w:ascii="仿宋_GB2312" w:eastAsia="仿宋_GB2312"/>
          <w:color w:val="000000"/>
          <w:sz w:val="32"/>
          <w:szCs w:val="32"/>
        </w:rPr>
        <w:pict>
          <v:shape id="_x0000_s1030" o:spid="_x0000_s1030" o:spt="75" type="#_x0000_t75" style="position:absolute;left:0pt;margin-left:16pt;margin-top:13.85pt;height:160.75pt;width:394.95pt;z-index:251663360;mso-width-relative:page;mso-height-relative:page;" o:ole="t" filled="f" o:preferrelative="t" stroked="f" coordsize="21600,21600">
            <v:path/>
            <v:fill on="f" focussize="0,0"/>
            <v:stroke on="f"/>
            <v:imagedata r:id="rId15" o:title=""/>
            <o:lock v:ext="edit" aspectratio="t"/>
          </v:shape>
          <o:OLEObject Type="Embed" ProgID="Excel.Sheet.12" ShapeID="_x0000_s1030" DrawAspect="Content" ObjectID="_1468075729" r:id="rId14">
            <o:LockedField>false</o:LockedField>
          </o:OLEObject>
        </w:pic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27" w:name="_Toc15377211"/>
      <w:r>
        <w:rPr>
          <w:rFonts w:hint="eastAsia" w:ascii="仿宋" w:hAnsi="仿宋" w:eastAsia="仿宋"/>
          <w:b/>
          <w:sz w:val="32"/>
          <w:szCs w:val="32"/>
        </w:rPr>
        <w:t>（二）一般公共预算财政拨款支出决算结构情况</w:t>
      </w:r>
      <w:bookmarkEnd w:id="27"/>
    </w:p>
    <w:p>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38.47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37.02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96.23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1.45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3.77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r>
        <w:rPr>
          <w:rFonts w:hint="eastAsia" w:ascii="Times New Roman" w:hAnsi="Times New Roman" w:eastAsia="仿宋_GB2312" w:cs="Times New Roman"/>
          <w:b w:val="0"/>
          <w:bCs/>
          <w:sz w:val="32"/>
          <w:szCs w:val="32"/>
          <w:lang w:val="en-US" w:eastAsia="zh-CN"/>
        </w:rPr>
        <w:pict>
          <v:shape id="Object 11" o:spid="_x0000_s1031" o:spt="75" type="#_x0000_t75" style="position:absolute;left:0pt;margin-left:5.3pt;margin-top:17.7pt;height:135.1pt;width:394.6pt;z-index:251664384;mso-width-relative:page;mso-height-relative:page;" o:ole="t" filled="f" o:preferrelative="t" stroked="f" coordsize="21600,21600">
            <v:path/>
            <v:fill on="f" focussize="0,0"/>
            <v:stroke on="f"/>
            <v:imagedata r:id="rId17" o:title=""/>
            <o:lock v:ext="edit" aspectratio="t"/>
          </v:shape>
          <o:OLEObject Type="Embed" ProgID="Excel.Sheet.12" ShapeID="Object 11" DrawAspect="Content" ObjectID="_1468075730" r:id="rId16">
            <o:LockedField>false</o:LockedField>
          </o:OLEObject>
        </w:pic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28" w:name="_Toc15377212"/>
      <w:r>
        <w:rPr>
          <w:rFonts w:hint="eastAsia" w:ascii="仿宋" w:hAnsi="仿宋" w:eastAsia="仿宋"/>
          <w:b/>
          <w:sz w:val="32"/>
          <w:szCs w:val="32"/>
        </w:rPr>
        <w:t>（三）一般公共预算财政拨款支出决算具体情况</w:t>
      </w:r>
      <w:bookmarkEnd w:id="28"/>
    </w:p>
    <w:p>
      <w:pPr>
        <w:spacing w:line="600" w:lineRule="exact"/>
        <w:ind w:firstLine="640" w:firstLineChars="200"/>
        <w:outlineLvl w:val="2"/>
        <w:rPr>
          <w:rStyle w:val="18"/>
          <w:rFonts w:hint="eastAsia" w:ascii="仿宋" w:hAnsi="仿宋" w:eastAsia="仿宋"/>
          <w:b w:val="0"/>
          <w:bCs/>
          <w:color w:val="auto"/>
          <w:sz w:val="32"/>
          <w:szCs w:val="32"/>
          <w:highlight w:val="none"/>
        </w:rPr>
      </w:pPr>
      <w:bookmarkStart w:id="29" w:name="_Toc15378460"/>
      <w:bookmarkStart w:id="30" w:name="_Toc15377444"/>
      <w:bookmarkStart w:id="31" w:name="_Toc15377213"/>
      <w:r>
        <w:rPr>
          <w:rStyle w:val="18"/>
          <w:rFonts w:hint="eastAsia" w:ascii="仿宋" w:hAnsi="仿宋" w:eastAsia="仿宋"/>
          <w:b w:val="0"/>
          <w:bCs/>
          <w:color w:val="auto"/>
          <w:sz w:val="32"/>
          <w:szCs w:val="32"/>
          <w:highlight w:val="none"/>
        </w:rPr>
        <w:t>2023年度一般公共预算支出决算数为38.47，完成预算</w:t>
      </w:r>
      <w:r>
        <w:rPr>
          <w:rStyle w:val="18"/>
          <w:rFonts w:hint="eastAsia" w:ascii="仿宋" w:hAnsi="仿宋" w:eastAsia="仿宋"/>
          <w:b w:val="0"/>
          <w:bCs/>
          <w:color w:val="auto"/>
          <w:sz w:val="32"/>
          <w:szCs w:val="32"/>
          <w:highlight w:val="none"/>
          <w:lang w:val="en-US" w:eastAsia="zh-CN"/>
        </w:rPr>
        <w:t>100</w:t>
      </w:r>
      <w:r>
        <w:rPr>
          <w:rStyle w:val="18"/>
          <w:rFonts w:hint="eastAsia" w:ascii="仿宋" w:hAnsi="仿宋" w:eastAsia="仿宋"/>
          <w:b w:val="0"/>
          <w:bCs/>
          <w:color w:val="auto"/>
          <w:sz w:val="32"/>
          <w:szCs w:val="32"/>
          <w:highlight w:val="none"/>
        </w:rPr>
        <w:t>%。其中：</w:t>
      </w:r>
      <w:bookmarkEnd w:id="29"/>
      <w:bookmarkEnd w:id="30"/>
      <w:bookmarkEnd w:id="31"/>
    </w:p>
    <w:p>
      <w:pPr>
        <w:spacing w:line="600" w:lineRule="exact"/>
        <w:ind w:firstLine="642"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val="en-US" w:eastAsia="zh-CN"/>
        </w:rPr>
        <w:t>政府办公厅（室）及相关事务机构</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行政运行</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0.92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val="en-US" w:eastAsia="zh-CN"/>
        </w:rPr>
        <w:t>群众团体事务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行政运行</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6.10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val="en-US" w:eastAsia="zh-CN"/>
        </w:rPr>
        <w:t>群众团体事务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工会事务</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社会保障和就业支出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val="en-US" w:eastAsia="zh-CN"/>
        </w:rPr>
        <w:t>行政事业单位养老支出</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其事业单位离退休</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1.45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30"/>
        </w:rPr>
      </w:pPr>
      <w:bookmarkStart w:id="32" w:name="_Toc15396608"/>
      <w:bookmarkStart w:id="33"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2"/>
      <w:bookmarkEnd w:id="33"/>
      <w:r>
        <w:rPr>
          <w:rStyle w:val="30"/>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8.47</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1.45</w:t>
      </w:r>
      <w:r>
        <w:rPr>
          <w:rFonts w:hint="eastAsia" w:ascii="仿宋" w:hAnsi="仿宋" w:eastAsia="仿宋"/>
          <w:sz w:val="32"/>
          <w:szCs w:val="32"/>
        </w:rPr>
        <w:t>万元，主要包括：生活补助。</w:t>
      </w:r>
      <w:r>
        <w:rPr>
          <w:rFonts w:ascii="仿宋" w:hAnsi="仿宋" w:eastAsia="仿宋"/>
          <w:sz w:val="32"/>
          <w:szCs w:val="32"/>
        </w:rPr>
        <w:br w:type="textWrapping"/>
      </w:r>
      <w:r>
        <w:rPr>
          <w:rFonts w:hint="eastAsia" w:ascii="仿宋" w:hAnsi="仿宋" w:eastAsia="仿宋"/>
          <w:sz w:val="32"/>
          <w:szCs w:val="32"/>
        </w:rPr>
        <w:t>　　公用经费</w:t>
      </w:r>
      <w:r>
        <w:rPr>
          <w:sz w:val="32"/>
          <w:szCs w:val="32"/>
        </w:rPr>
        <w:t>7.02</w:t>
      </w:r>
      <w:r>
        <w:rPr>
          <w:rFonts w:hint="eastAsia" w:ascii="仿宋" w:hAnsi="仿宋" w:eastAsia="仿宋"/>
          <w:sz w:val="32"/>
          <w:szCs w:val="32"/>
        </w:rPr>
        <w:t>万元，主要包括：办公费、邮电费、取暖费、差旅费</w:t>
      </w:r>
      <w:r>
        <w:rPr>
          <w:rFonts w:hint="eastAsia" w:ascii="仿宋" w:hAnsi="仿宋" w:eastAsia="仿宋"/>
          <w:sz w:val="32"/>
          <w:szCs w:val="32"/>
          <w:lang w:eastAsia="zh-CN"/>
        </w:rPr>
        <w:t>、</w:t>
      </w:r>
      <w:r>
        <w:rPr>
          <w:rFonts w:hint="eastAsia" w:ascii="仿宋" w:hAnsi="仿宋" w:eastAsia="仿宋"/>
          <w:sz w:val="32"/>
          <w:szCs w:val="32"/>
        </w:rPr>
        <w:t>福利费、其他商品和服务支出等。</w:t>
      </w:r>
    </w:p>
    <w:p>
      <w:pPr>
        <w:spacing w:line="600" w:lineRule="exact"/>
        <w:ind w:firstLine="640"/>
        <w:rPr>
          <w:rFonts w:ascii="仿宋" w:hAnsi="仿宋" w:eastAsia="仿宋"/>
          <w:b/>
          <w:sz w:val="32"/>
          <w:szCs w:val="32"/>
        </w:rPr>
      </w:pPr>
    </w:p>
    <w:p>
      <w:pPr>
        <w:spacing w:line="600" w:lineRule="exact"/>
        <w:ind w:firstLine="640"/>
        <w:outlineLvl w:val="1"/>
        <w:rPr>
          <w:rStyle w:val="30"/>
          <w:rFonts w:ascii="黑体" w:hAnsi="黑体" w:eastAsia="黑体"/>
          <w:b w:val="0"/>
        </w:rPr>
      </w:pPr>
      <w:bookmarkStart w:id="34" w:name="_Toc15396609"/>
      <w:bookmarkStart w:id="35"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4"/>
      <w:bookmarkEnd w:id="35"/>
    </w:p>
    <w:p>
      <w:pPr>
        <w:spacing w:line="600" w:lineRule="exact"/>
        <w:ind w:firstLine="640"/>
        <w:outlineLvl w:val="2"/>
        <w:rPr>
          <w:rFonts w:ascii="仿宋" w:hAnsi="仿宋" w:eastAsia="仿宋"/>
          <w:b/>
          <w:sz w:val="32"/>
          <w:szCs w:val="32"/>
        </w:rPr>
      </w:pPr>
      <w:bookmarkStart w:id="36" w:name="_Toc15377216"/>
      <w:r>
        <w:rPr>
          <w:rFonts w:hint="eastAsia" w:ascii="仿宋" w:hAnsi="仿宋" w:eastAsia="仿宋"/>
          <w:b/>
          <w:sz w:val="32"/>
          <w:szCs w:val="32"/>
        </w:rPr>
        <w:t>（一）“三公”经费财政拨款支出决算总体情况说明</w:t>
      </w:r>
      <w:bookmarkEnd w:id="36"/>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w:t>
      </w:r>
    </w:p>
    <w:p>
      <w:pPr>
        <w:spacing w:line="600" w:lineRule="exact"/>
        <w:ind w:firstLine="640"/>
        <w:outlineLvl w:val="2"/>
        <w:rPr>
          <w:rFonts w:ascii="仿宋" w:hAnsi="仿宋" w:eastAsia="仿宋"/>
          <w:b/>
          <w:sz w:val="32"/>
          <w:szCs w:val="32"/>
        </w:rPr>
      </w:pPr>
      <w:bookmarkStart w:id="37" w:name="_Toc15377217"/>
      <w:r>
        <w:rPr>
          <w:rFonts w:hint="eastAsia" w:ascii="仿宋" w:hAnsi="仿宋" w:eastAsia="仿宋"/>
          <w:b/>
          <w:sz w:val="32"/>
          <w:szCs w:val="32"/>
        </w:rPr>
        <w:t>（二）“三公”经费财政拨款支出决算具体情况说明</w:t>
      </w:r>
      <w:bookmarkEnd w:id="37"/>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hint="eastAsia" w:ascii="仿宋" w:hAnsi="仿宋" w:eastAsia="仿宋"/>
          <w:sz w:val="32"/>
          <w:szCs w:val="32"/>
        </w:rPr>
      </w:pPr>
      <w:r>
        <w:rPr>
          <w:rFonts w:hint="eastAsia" w:ascii="Times New Roman" w:hAnsi="Times New Roman" w:eastAsia="仿宋_GB2312" w:cs="Times New Roman"/>
          <w:b w:val="0"/>
          <w:bCs/>
          <w:sz w:val="32"/>
          <w:szCs w:val="32"/>
          <w:lang w:val="en-US" w:eastAsia="zh-CN"/>
        </w:rPr>
        <w:pict>
          <v:shape id="Object 12" o:spid="_x0000_s1032" o:spt="75" type="#_x0000_t75" style="position:absolute;left:0pt;margin-left:9.25pt;margin-top:14.85pt;height:127.7pt;width:428.85pt;z-index:251665408;mso-width-relative:page;mso-height-relative:page;" o:ole="t" filled="f" o:preferrelative="t" stroked="f" coordsize="21600,21600">
            <v:path/>
            <v:fill on="f" focussize="0,0"/>
            <v:stroke on="f"/>
            <v:imagedata r:id="rId19" o:title=""/>
            <o:lock v:ext="edit" aspectratio="t"/>
          </v:shape>
          <o:OLEObject Type="Embed" ProgID="Excel.Sheet.12" ShapeID="Object 12" DrawAspect="Content" ObjectID="_1468075731" r:id="rId18">
            <o:LockedField>false</o:LockedField>
          </o:OLEObject>
        </w:pict>
      </w: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w:t>
      </w:r>
      <w:r>
        <w:rPr>
          <w:rFonts w:hint="eastAsia" w:ascii="仿宋_GB2312" w:eastAsia="仿宋_GB2312"/>
          <w:sz w:val="32"/>
          <w:szCs w:val="32"/>
        </w:rPr>
        <w:t>万元。</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38" w:name="_Toc15396610"/>
      <w:bookmarkStart w:id="39" w:name="_Toc15377218"/>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38"/>
      <w:bookmarkEnd w:id="39"/>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30"/>
          <w:rFonts w:ascii="黑体" w:hAnsi="黑体" w:eastAsia="黑体"/>
          <w:b w:val="0"/>
        </w:rPr>
      </w:pPr>
      <w:bookmarkStart w:id="40" w:name="_Toc15377219"/>
      <w:bookmarkStart w:id="41" w:name="_Toc15396611"/>
      <w:r>
        <w:rPr>
          <w:rStyle w:val="30"/>
          <w:rFonts w:hint="eastAsia" w:ascii="黑体" w:hAnsi="黑体" w:eastAsia="黑体"/>
          <w:b w:val="0"/>
        </w:rPr>
        <w:t>国有资本经营预算支出决算情况说明</w:t>
      </w:r>
      <w:bookmarkEnd w:id="40"/>
      <w:bookmarkEnd w:id="41"/>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30"/>
          <w:rFonts w:ascii="黑体" w:hAnsi="黑体" w:eastAsia="黑体"/>
          <w:b w:val="0"/>
        </w:rPr>
      </w:pPr>
      <w:bookmarkStart w:id="42" w:name="_Toc15377221"/>
      <w:bookmarkStart w:id="43" w:name="_Toc15396612"/>
      <w:r>
        <w:rPr>
          <w:rStyle w:val="30"/>
          <w:rFonts w:hint="eastAsia" w:ascii="黑体" w:hAnsi="黑体" w:eastAsia="黑体"/>
          <w:b w:val="0"/>
        </w:rPr>
        <w:t>其他重要事项的情况说明</w:t>
      </w:r>
      <w:bookmarkEnd w:id="42"/>
      <w:bookmarkEnd w:id="43"/>
    </w:p>
    <w:p>
      <w:pPr>
        <w:spacing w:line="600" w:lineRule="exact"/>
        <w:ind w:firstLine="642" w:firstLineChars="200"/>
        <w:outlineLvl w:val="2"/>
        <w:rPr>
          <w:rFonts w:ascii="仿宋" w:hAnsi="仿宋" w:eastAsia="仿宋"/>
          <w:sz w:val="32"/>
          <w:szCs w:val="32"/>
        </w:rPr>
      </w:pPr>
      <w:bookmarkStart w:id="44" w:name="_Toc15377222"/>
      <w:r>
        <w:rPr>
          <w:rFonts w:hint="eastAsia" w:ascii="仿宋" w:hAnsi="仿宋" w:eastAsia="仿宋"/>
          <w:b/>
          <w:sz w:val="32"/>
          <w:szCs w:val="32"/>
        </w:rPr>
        <w:t>（一）机关运行经费支出情况</w:t>
      </w:r>
      <w:bookmarkEnd w:id="44"/>
    </w:p>
    <w:p>
      <w:pPr>
        <w:spacing w:line="60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2023年度，遂宁经济技术开发区总工会机关运行经费支出7.02万元，比2022年度增加</w:t>
      </w:r>
      <w:r>
        <w:rPr>
          <w:rFonts w:hint="eastAsia" w:ascii="仿宋_GB2312" w:hAnsi="Times New Roman" w:eastAsia="仿宋_GB2312" w:cs="Times New Roman"/>
          <w:sz w:val="32"/>
          <w:szCs w:val="32"/>
          <w:lang w:val="en-US" w:eastAsia="zh-CN"/>
        </w:rPr>
        <w:t>3.35</w:t>
      </w:r>
      <w:r>
        <w:rPr>
          <w:rFonts w:hint="eastAsia" w:ascii="仿宋_GB2312" w:hAnsi="Times New Roman" w:eastAsia="仿宋_GB2312" w:cs="Times New Roman"/>
          <w:sz w:val="32"/>
          <w:szCs w:val="32"/>
        </w:rPr>
        <w:t>万元，增长</w:t>
      </w:r>
      <w:r>
        <w:rPr>
          <w:rFonts w:hint="eastAsia" w:ascii="仿宋_GB2312" w:hAnsi="Times New Roman" w:eastAsia="仿宋_GB2312" w:cs="Times New Roman"/>
          <w:sz w:val="32"/>
          <w:szCs w:val="32"/>
          <w:lang w:val="en-US" w:eastAsia="zh-CN"/>
        </w:rPr>
        <w:t>3.66</w:t>
      </w:r>
      <w:r>
        <w:rPr>
          <w:rFonts w:hint="eastAsia" w:ascii="仿宋_GB2312" w:hAnsi="Times New Roman" w:eastAsia="仿宋_GB2312" w:cs="Times New Roman"/>
          <w:sz w:val="32"/>
          <w:szCs w:val="32"/>
        </w:rPr>
        <w:t>%。主要原因是</w:t>
      </w:r>
      <w:r>
        <w:rPr>
          <w:rFonts w:hint="eastAsia" w:ascii="仿宋_GB2312" w:hAnsi="Times New Roman" w:eastAsia="仿宋_GB2312" w:cs="Times New Roman"/>
          <w:sz w:val="32"/>
          <w:szCs w:val="32"/>
          <w:lang w:val="en-US" w:eastAsia="zh-CN"/>
        </w:rPr>
        <w:t>增加了财政补贴</w:t>
      </w:r>
      <w:r>
        <w:rPr>
          <w:rFonts w:hint="eastAsia" w:ascii="仿宋_GB2312" w:hAnsi="Times New Roman" w:eastAsia="仿宋_GB2312" w:cs="Times New Roman"/>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5" w:name="_Toc15377223"/>
      <w:r>
        <w:rPr>
          <w:rFonts w:hint="eastAsia" w:ascii="仿宋" w:hAnsi="仿宋" w:eastAsia="仿宋"/>
          <w:b/>
          <w:sz w:val="32"/>
          <w:szCs w:val="32"/>
        </w:rPr>
        <w:t>（二）政府采购支出情况</w:t>
      </w:r>
      <w:bookmarkEnd w:id="45"/>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遂宁经济技术开发区总工会</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6" w:name="_Toc15377224"/>
      <w:r>
        <w:rPr>
          <w:rFonts w:hint="eastAsia" w:ascii="仿宋" w:hAnsi="仿宋" w:eastAsia="仿宋"/>
          <w:b/>
          <w:sz w:val="32"/>
          <w:szCs w:val="32"/>
        </w:rPr>
        <w:t>（三）国有资产占有使用情况</w:t>
      </w:r>
      <w:bookmarkEnd w:id="46"/>
    </w:p>
    <w:p>
      <w:pPr>
        <w:autoSpaceDE w:val="0"/>
        <w:autoSpaceDN w:val="0"/>
        <w:adjustRightInd w:val="0"/>
        <w:spacing w:line="60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截至2023年12月31日，遂宁经济技术开发区总工会共有车辆0辆。单价100万元以上设备（不含车辆）0台（套）。</w:t>
      </w:r>
    </w:p>
    <w:p>
      <w:pPr>
        <w:autoSpaceDE w:val="0"/>
        <w:autoSpaceDN w:val="0"/>
        <w:adjustRightInd w:val="0"/>
        <w:spacing w:line="600" w:lineRule="exact"/>
        <w:ind w:firstLine="642" w:firstLineChars="200"/>
        <w:jc w:val="left"/>
        <w:outlineLvl w:val="2"/>
        <w:rPr>
          <w:rFonts w:ascii="仿宋" w:hAnsi="仿宋" w:eastAsia="仿宋"/>
          <w:b/>
          <w:sz w:val="32"/>
          <w:szCs w:val="32"/>
          <w:highlight w:val="yellow"/>
        </w:rPr>
      </w:pPr>
      <w:r>
        <w:rPr>
          <w:rFonts w:hint="eastAsia" w:ascii="仿宋" w:hAnsi="仿宋" w:eastAsia="仿宋"/>
          <w:b/>
          <w:sz w:val="32"/>
          <w:szCs w:val="32"/>
        </w:rPr>
        <w:t>（</w:t>
      </w:r>
      <w:r>
        <w:rPr>
          <w:rFonts w:hint="eastAsia" w:ascii="仿宋" w:hAnsi="仿宋" w:eastAsia="仿宋" w:cs="Times New Roman"/>
          <w:b/>
          <w:sz w:val="32"/>
          <w:szCs w:val="32"/>
        </w:rPr>
        <w:t>四）预算绩效管理情况</w:t>
      </w:r>
    </w:p>
    <w:p>
      <w:pPr>
        <w:pStyle w:val="6"/>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据预算绩效管理要求，本单位在202</w:t>
      </w:r>
      <w:r>
        <w:rPr>
          <w:rFonts w:hint="eastAsia"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年度预算编制阶段，人员体检项目</w:t>
      </w:r>
      <w:r>
        <w:rPr>
          <w:rFonts w:hint="eastAsia" w:hAnsi="仿宋_GB2312" w:cs="仿宋_GB2312"/>
          <w:color w:val="auto"/>
          <w:sz w:val="32"/>
          <w:szCs w:val="32"/>
          <w:highlight w:val="none"/>
          <w:lang w:eastAsia="zh-CN"/>
        </w:rPr>
        <w:t>、工会经费</w:t>
      </w:r>
      <w:r>
        <w:rPr>
          <w:rFonts w:hint="eastAsia" w:ascii="仿宋_GB2312" w:hAnsi="仿宋_GB2312" w:eastAsia="仿宋_GB2312" w:cs="仿宋_GB2312"/>
          <w:color w:val="auto"/>
          <w:sz w:val="32"/>
          <w:szCs w:val="32"/>
          <w:highlight w:val="none"/>
        </w:rPr>
        <w:t>项目等</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pStyle w:val="3"/>
        <w:jc w:val="center"/>
      </w:pPr>
      <w:r>
        <w:rPr>
          <w:rFonts w:hint="eastAsia"/>
        </w:rPr>
        <w:t>第三部分 名词解释</w:t>
      </w:r>
    </w:p>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2.使用非财政拨款结余：指事业单位使用以前年度积累的非财政拨款结余弥补当年收支差额的金额</w:t>
      </w:r>
      <w:r>
        <w:rPr>
          <w:rFonts w:hint="eastAsia" w:ascii="仿宋_GB2312" w:eastAsia="仿宋_GB2312"/>
          <w:color w:val="auto"/>
          <w:sz w:val="32"/>
          <w:szCs w:val="32"/>
          <w:highlight w:val="none"/>
        </w:rPr>
        <w:t>。</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3.年初结转和结余：指以前年度尚未完成、结转到本年按有关规定继续使用的资金</w:t>
      </w:r>
      <w:r>
        <w:rPr>
          <w:rFonts w:hint="eastAsia" w:ascii="仿宋_GB2312" w:eastAsia="仿宋_GB2312"/>
          <w:color w:val="auto"/>
          <w:sz w:val="32"/>
          <w:szCs w:val="32"/>
          <w:highlight w:val="none"/>
        </w:rPr>
        <w:t>。</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4.结余分配：指事业单位按照会计制度规定缴纳的所得税、提取的专用结余以及转入非财政拨款结余的金额等</w:t>
      </w:r>
      <w:r>
        <w:rPr>
          <w:rFonts w:hint="eastAsia" w:ascii="仿宋_GB2312" w:eastAsia="仿宋_GB2312"/>
          <w:color w:val="auto"/>
          <w:sz w:val="32"/>
          <w:szCs w:val="32"/>
          <w:highlight w:val="none"/>
        </w:rPr>
        <w:t>。</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5.年末结转和结余：指单位按有关规定结转到下年或以后年度继续使用的资金</w:t>
      </w:r>
      <w:r>
        <w:rPr>
          <w:rFonts w:hint="eastAsia" w:ascii="仿宋_GB2312" w:eastAsia="仿宋_GB2312"/>
          <w:color w:val="auto"/>
          <w:sz w:val="32"/>
          <w:szCs w:val="32"/>
          <w:highlight w:val="none"/>
          <w:lang w:eastAsia="zh-CN"/>
        </w:rPr>
        <w:t>。</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6.一般公共服务（类）群众团体事务（款）行政运行（项）：指政府提供的公共服务支出中</w:t>
      </w:r>
      <w:r>
        <w:rPr>
          <w:sz w:val="21"/>
          <w:szCs w:val="21"/>
        </w:rPr>
        <w:t>反</w:t>
      </w:r>
      <w:r>
        <w:rPr>
          <w:rFonts w:ascii="仿宋_GB2312" w:eastAsia="仿宋_GB2312"/>
          <w:color w:val="auto"/>
          <w:sz w:val="32"/>
          <w:szCs w:val="32"/>
          <w:highlight w:val="none"/>
        </w:rPr>
        <w:t>映各级人民团体、社会团
体、群众团体以及工会、妇联、共青团组织（包括中华青年联合会)等行政单位的基本支出；一般公共服务（类）群众团体事务（款）一般行政管理事务（项）：指政府提供的公共服务支出中，反映各级人民团体、社会团体、群众团体以及工会、妇联、共青团组织（包括中华青年联合会）等未单独设置项级科目的其他项目支出；一般公共服务（类）群众团体事务（款）其他群众团体事务支出（项）：指政府提供的公共服务支出中，反映各级人民团体、社会团体、群众团体以及工会、妇联、共青团组织（包括中华青年联合会）用于其他群众团体事务方面的支出。</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7.文化体育与传媒（类）体育（款）体育竞赛（项）
指体育赛事项目的支出。</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.一般公共服务支出：反映政府提供一般公共服务的支出。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9.文化旅游体育与传媒支出：反映政府在文化、旅游、文物、体育、广播电视、电影、新闻出版等方面的支出。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10.基本支出：指为保障机构正常运转、完成日常工作任务而发生的人员支出和公用支出。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11.项目支出：指在基本支出之外为完成特定行政任务和事业发展目标所发生的支出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12.经营支出：指事业单位在专业业务活动及其辅助活动之外开展非独立核算经营活动发生的支出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13.</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
        <w:jc w:val="cente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pStyle w:val="3"/>
        <w:jc w:val="center"/>
        <w:rPr>
          <w:rFonts w:ascii="黑体" w:hAnsi="黑体" w:eastAsia="黑体"/>
          <w:b w:val="0"/>
        </w:rPr>
      </w:pPr>
      <w:r>
        <w:rPr>
          <w:rFonts w:hint="eastAsia" w:ascii="黑体" w:hAnsi="黑体" w:eastAsia="黑体"/>
          <w:b w:val="0"/>
        </w:rPr>
        <w:t>第四部分 附件</w:t>
      </w:r>
    </w:p>
    <w:p/>
    <w:p>
      <w:pPr>
        <w:rPr>
          <w:rFonts w:ascii="黑体" w:hAnsi="黑体" w:eastAsia="黑体"/>
          <w:sz w:val="32"/>
          <w:szCs w:val="32"/>
        </w:rPr>
      </w:pPr>
      <w:r>
        <w:rPr>
          <w:rFonts w:hint="eastAsia" w:ascii="黑体" w:hAnsi="黑体" w:eastAsia="黑体"/>
          <w:sz w:val="32"/>
          <w:szCs w:val="32"/>
        </w:rPr>
        <w:t>附件1</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部门预算绩效评价报告范本</w:t>
      </w:r>
    </w:p>
    <w:p>
      <w:pPr>
        <w:jc w:val="center"/>
        <w:rPr>
          <w:rFonts w:ascii="仿宋_GB2312" w:eastAsia="仿宋_GB2312"/>
          <w:sz w:val="32"/>
          <w:szCs w:val="32"/>
        </w:rPr>
      </w:pPr>
      <w:r>
        <w:rPr>
          <w:rFonts w:hint="eastAsia" w:ascii="仿宋_GB2312" w:eastAsia="仿宋_GB2312"/>
          <w:sz w:val="32"/>
          <w:szCs w:val="32"/>
        </w:rPr>
        <w:t>（报告范围包括机关和下属单位）</w:t>
      </w:r>
    </w:p>
    <w:p/>
    <w:p>
      <w:pPr>
        <w:widowControl/>
        <w:adjustRightInd w:val="0"/>
        <w:snapToGrid w:val="0"/>
        <w:spacing w:line="620" w:lineRule="exact"/>
        <w:ind w:firstLine="640" w:firstLineChars="200"/>
        <w:contextualSpacing/>
        <w:jc w:val="left"/>
        <w:rPr>
          <w:rFonts w:ascii="Times New Roman" w:hAnsi="Times New Roman" w:eastAsia="黑体" w:cs="Times New Roman"/>
          <w:color w:val="000000"/>
          <w:kern w:val="0"/>
          <w:sz w:val="32"/>
          <w:szCs w:val="32"/>
          <w:shd w:val="clear" w:color="auto" w:fill="FFFFFF"/>
          <w:lang w:val="zh-CN"/>
        </w:rPr>
      </w:pPr>
      <w:r>
        <w:rPr>
          <w:rFonts w:ascii="Times New Roman" w:hAnsi="Times New Roman" w:eastAsia="黑体" w:cs="Times New Roman"/>
          <w:color w:val="000000"/>
          <w:kern w:val="0"/>
          <w:sz w:val="32"/>
          <w:szCs w:val="32"/>
          <w:shd w:val="clear" w:color="auto" w:fill="FFFFFF"/>
        </w:rPr>
        <w:t>一、</w:t>
      </w:r>
      <w:r>
        <w:rPr>
          <w:rFonts w:ascii="Times New Roman" w:hAnsi="Times New Roman" w:eastAsia="黑体" w:cs="Times New Roman"/>
          <w:color w:val="000000"/>
          <w:kern w:val="0"/>
          <w:sz w:val="32"/>
          <w:szCs w:val="32"/>
          <w:shd w:val="clear" w:color="auto" w:fill="FFFFFF"/>
          <w:lang w:val="zh-CN"/>
        </w:rPr>
        <w:t>部门（单位）概况</w:t>
      </w:r>
    </w:p>
    <w:p>
      <w:pPr>
        <w:widowControl/>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（一）机构组成</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zh-CN"/>
        </w:rPr>
        <w:t>202</w:t>
      </w:r>
      <w:r>
        <w:rPr>
          <w:rFonts w:hint="eastAsia" w:ascii="Times New Roman" w:hAnsi="Times New Roman" w:eastAsia="仿宋_GB2312" w:cs="Times New Roman"/>
          <w:color w:val="000000"/>
          <w:kern w:val="0"/>
          <w:sz w:val="32"/>
          <w:szCs w:val="32"/>
          <w:shd w:val="clear" w:color="auto" w:fill="FFFFFF"/>
          <w:lang w:val="en-US" w:eastAsia="zh-CN"/>
        </w:rPr>
        <w:t>3</w:t>
      </w:r>
      <w:r>
        <w:rPr>
          <w:rFonts w:hint="eastAsia" w:ascii="Times New Roman" w:hAnsi="Times New Roman" w:eastAsia="仿宋_GB2312" w:cs="Times New Roman"/>
          <w:color w:val="000000"/>
          <w:kern w:val="0"/>
          <w:sz w:val="32"/>
          <w:szCs w:val="32"/>
          <w:shd w:val="clear" w:color="auto" w:fill="FFFFFF"/>
          <w:lang w:val="zh-CN"/>
        </w:rPr>
        <w:t>年，我会机关设置</w:t>
      </w:r>
      <w:r>
        <w:rPr>
          <w:rFonts w:hint="eastAsia" w:ascii="Times New Roman" w:hAnsi="Times New Roman" w:eastAsia="仿宋_GB2312" w:cs="Times New Roman"/>
          <w:color w:val="000000"/>
          <w:kern w:val="0"/>
          <w:sz w:val="32"/>
          <w:szCs w:val="32"/>
          <w:shd w:val="clear" w:color="auto" w:fill="FFFFFF"/>
          <w:lang w:val="en-US" w:eastAsia="zh-CN"/>
        </w:rPr>
        <w:t>9个部室，即办公室、宣传教育部、经济法工部、保障工作部、网络和社会工作部、基层工作部、女职工工作部、财务部、经审办</w:t>
      </w:r>
      <w:r>
        <w:rPr>
          <w:rFonts w:hint="eastAsia" w:ascii="Times New Roman" w:hAnsi="Times New Roman" w:eastAsia="仿宋_GB2312" w:cs="Times New Roman"/>
          <w:color w:val="000000"/>
          <w:kern w:val="0"/>
          <w:sz w:val="32"/>
          <w:szCs w:val="32"/>
          <w:shd w:val="clear" w:color="auto" w:fill="FFFFFF"/>
          <w:lang w:val="zh-CN"/>
        </w:rPr>
        <w:t>。</w:t>
      </w:r>
    </w:p>
    <w:p>
      <w:pPr>
        <w:widowControl/>
        <w:numPr>
          <w:ilvl w:val="0"/>
          <w:numId w:val="4"/>
        </w:numPr>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机构职能</w:t>
      </w:r>
    </w:p>
    <w:p>
      <w:pPr>
        <w:spacing w:line="576" w:lineRule="exact"/>
        <w:ind w:firstLine="640" w:firstLineChars="200"/>
        <w:rPr>
          <w:rFonts w:hint="eastAsia" w:ascii="仿宋_GB2312" w:hAnsi="Times New Roman" w:eastAsia="仿宋_GB2312" w:cs="Times New Roman"/>
          <w:sz w:val="32"/>
        </w:rPr>
      </w:pPr>
      <w:r>
        <w:rPr>
          <w:rFonts w:hint="eastAsia" w:ascii="黑体" w:hAnsi="黑体" w:eastAsia="黑体" w:cs="Times New Roman"/>
          <w:sz w:val="32"/>
          <w:lang w:val="en-US" w:eastAsia="zh-CN"/>
        </w:rPr>
        <w:t>1.</w:t>
      </w:r>
      <w:r>
        <w:rPr>
          <w:rFonts w:hint="eastAsia" w:ascii="仿宋_GB2312" w:hAnsi="Times New Roman" w:eastAsia="仿宋_GB2312" w:cs="Times New Roman"/>
          <w:sz w:val="32"/>
        </w:rPr>
        <w:t>贯彻执行全国、省、市、区工会代表大会确定的工会工作目标，依据《工会法》和《中国工会章程》，组织和指导全区各级工会坚定不移地推动党的全心全意依靠工人阶级根本指导方针的贯彻落实。</w:t>
      </w:r>
    </w:p>
    <w:p>
      <w:pPr>
        <w:spacing w:line="576" w:lineRule="exact"/>
        <w:ind w:firstLine="640" w:firstLineChars="200"/>
        <w:rPr>
          <w:rFonts w:hint="eastAsia" w:ascii="仿宋_GB2312" w:hAnsi="Times New Roman" w:eastAsia="仿宋_GB2312" w:cs="Times New Roman"/>
          <w:sz w:val="32"/>
        </w:rPr>
      </w:pPr>
      <w:r>
        <w:rPr>
          <w:rFonts w:hint="eastAsia" w:ascii="黑体" w:hAnsi="黑体" w:eastAsia="黑体" w:cs="Times New Roman"/>
          <w:sz w:val="32"/>
          <w:lang w:val="en-US" w:eastAsia="zh-CN"/>
        </w:rPr>
        <w:t>2.</w:t>
      </w:r>
      <w:r>
        <w:rPr>
          <w:rFonts w:hint="eastAsia" w:ascii="仿宋_GB2312" w:hAnsi="Times New Roman" w:eastAsia="仿宋_GB2312" w:cs="Times New Roman"/>
          <w:sz w:val="32"/>
        </w:rPr>
        <w:t>围绕职工合法权益、产业工人队伍建设、困难职工脱困解困、劳模服务管理、网上平台建设等重大问题进行调查研究，向区党工委、管委会和市总工会反映职工群众的思想、愿望和要求，提出意见和建议；参与涉及职工切身利益的有关政策、措施、制度的规定；对损害职工合法权益的重大事件进行调查并提出处理意见；通过各种途径和形式，参与全区经济、社会、文化管理，协助党工委、管委会开展工作。</w:t>
      </w:r>
    </w:p>
    <w:p>
      <w:pPr>
        <w:spacing w:line="576" w:lineRule="exact"/>
        <w:ind w:firstLine="640" w:firstLineChars="200"/>
        <w:rPr>
          <w:rFonts w:hint="eastAsia" w:ascii="仿宋_GB2312" w:hAnsi="Times New Roman" w:eastAsia="仿宋_GB2312" w:cs="Times New Roman"/>
          <w:sz w:val="32"/>
        </w:rPr>
      </w:pPr>
      <w:r>
        <w:rPr>
          <w:rFonts w:hint="eastAsia" w:ascii="黑体" w:hAnsi="黑体" w:eastAsia="黑体" w:cs="Times New Roman"/>
          <w:sz w:val="32"/>
          <w:lang w:val="en-US" w:eastAsia="zh-CN"/>
        </w:rPr>
        <w:t>3.</w:t>
      </w:r>
      <w:r>
        <w:rPr>
          <w:rFonts w:hint="eastAsia" w:ascii="仿宋_GB2312" w:hAnsi="Times New Roman" w:eastAsia="仿宋_GB2312" w:cs="Times New Roman"/>
          <w:sz w:val="32"/>
        </w:rPr>
        <w:t>为各级工会提供理论政策服务，监督检查《工会法》、《中国工会章程》的贯彻执行，贯彻执行工会的组织制度和民主制度，指导基层工会组织职工开展以职工代表大会为基本制度的民主选举、民主决策、民主管理和民主监督工作，建立健全调整劳动关系，维护职工劳动权益的公开机制、协商机制、监督机制，指导企业建立工资集体协商机制，签订集体合同。</w:t>
      </w:r>
    </w:p>
    <w:p>
      <w:pPr>
        <w:spacing w:line="576" w:lineRule="exact"/>
        <w:ind w:firstLine="640" w:firstLineChars="200"/>
        <w:rPr>
          <w:rFonts w:hint="eastAsia" w:ascii="仿宋_GB2312" w:hAnsi="Times New Roman" w:eastAsia="仿宋_GB2312" w:cs="Times New Roman"/>
          <w:sz w:val="32"/>
        </w:rPr>
      </w:pPr>
      <w:r>
        <w:rPr>
          <w:rFonts w:hint="eastAsia" w:ascii="黑体" w:hAnsi="黑体" w:eastAsia="黑体" w:cs="Times New Roman"/>
          <w:sz w:val="32"/>
          <w:lang w:val="en-US" w:eastAsia="zh-CN"/>
        </w:rPr>
        <w:t>4.</w:t>
      </w:r>
      <w:r>
        <w:rPr>
          <w:rFonts w:hint="eastAsia" w:ascii="仿宋_GB2312" w:hAnsi="Times New Roman" w:eastAsia="仿宋_GB2312" w:cs="Times New Roman"/>
          <w:sz w:val="32"/>
        </w:rPr>
        <w:t>动员和组织职工积极参加经济建设，协助区党工委、管委会组织开展职工劳动竞赛活动，通过劳动竞赛和经济技术创新等方式提高职工思想道德和科学文化技术素质，建设“四有”职工队伍；研究指导工会自身改革和建设；指导企业组建工会和开展工会工作；指导基层工会履行职能，围绕中心，服务大局，增强活力。</w:t>
      </w:r>
    </w:p>
    <w:p>
      <w:pPr>
        <w:spacing w:line="576" w:lineRule="exact"/>
        <w:ind w:firstLine="640" w:firstLineChars="200"/>
        <w:rPr>
          <w:rFonts w:hint="eastAsia" w:ascii="仿宋_GB2312" w:hAnsi="Times New Roman" w:eastAsia="仿宋_GB2312" w:cs="Times New Roman"/>
          <w:sz w:val="32"/>
        </w:rPr>
      </w:pPr>
      <w:r>
        <w:rPr>
          <w:rFonts w:hint="eastAsia" w:ascii="黑体" w:hAnsi="黑体" w:eastAsia="黑体" w:cs="Times New Roman"/>
          <w:sz w:val="32"/>
          <w:lang w:val="en-US" w:eastAsia="zh-CN"/>
        </w:rPr>
        <w:t>5.</w:t>
      </w:r>
      <w:r>
        <w:rPr>
          <w:rFonts w:hint="eastAsia" w:ascii="仿宋_GB2312" w:hAnsi="Times New Roman" w:eastAsia="仿宋_GB2312" w:cs="Times New Roman"/>
          <w:sz w:val="32"/>
        </w:rPr>
        <w:t>协助各机关企事业单位管理工会的领导班子；监督、检查各机关企事业单位工会党员干部党风廉政建设情况；研究制定工会干部的管理制度和培训规划；负责全区工会干部培训指导工作。</w:t>
      </w:r>
    </w:p>
    <w:p>
      <w:pPr>
        <w:spacing w:line="576" w:lineRule="exact"/>
        <w:ind w:firstLine="640" w:firstLineChars="200"/>
        <w:rPr>
          <w:rFonts w:hint="eastAsia" w:ascii="仿宋_GB2312" w:hAnsi="Times New Roman" w:eastAsia="仿宋_GB2312" w:cs="Times New Roman"/>
          <w:sz w:val="32"/>
        </w:rPr>
      </w:pPr>
      <w:r>
        <w:rPr>
          <w:rFonts w:hint="eastAsia" w:ascii="黑体" w:hAnsi="黑体" w:eastAsia="黑体" w:cs="Times New Roman"/>
          <w:sz w:val="32"/>
          <w:lang w:val="en-US" w:eastAsia="zh-CN"/>
        </w:rPr>
        <w:t>6.</w:t>
      </w:r>
      <w:r>
        <w:rPr>
          <w:rFonts w:hint="eastAsia" w:ascii="仿宋_GB2312" w:hAnsi="Times New Roman" w:eastAsia="仿宋_GB2312" w:cs="Times New Roman"/>
          <w:sz w:val="32"/>
        </w:rPr>
        <w:t>协助区党工委、管委会做好全国、省、市劳动模范的推荐、评选和管理工作。</w:t>
      </w:r>
    </w:p>
    <w:p>
      <w:pPr>
        <w:spacing w:line="576" w:lineRule="exact"/>
        <w:ind w:firstLine="640" w:firstLineChars="200"/>
        <w:rPr>
          <w:rFonts w:hint="eastAsia" w:ascii="仿宋_GB2312" w:hAnsi="Times New Roman" w:eastAsia="仿宋_GB2312" w:cs="Times New Roman"/>
          <w:sz w:val="32"/>
        </w:rPr>
      </w:pPr>
      <w:r>
        <w:rPr>
          <w:rFonts w:hint="eastAsia" w:ascii="黑体" w:hAnsi="黑体" w:eastAsia="黑体" w:cs="Times New Roman"/>
          <w:sz w:val="32"/>
          <w:lang w:val="en-US" w:eastAsia="zh-CN"/>
        </w:rPr>
        <w:t>7.</w:t>
      </w:r>
      <w:r>
        <w:rPr>
          <w:rFonts w:hint="eastAsia" w:ascii="仿宋_GB2312" w:hAnsi="Times New Roman" w:eastAsia="仿宋_GB2312" w:cs="Times New Roman"/>
          <w:sz w:val="32"/>
        </w:rPr>
        <w:t>负责全区工会经费和工会资产的管理、审查、审计工作，参与研究、制定兴办职工福利事业的指导、协调工作。</w:t>
      </w:r>
    </w:p>
    <w:p>
      <w:pPr>
        <w:spacing w:line="576" w:lineRule="exact"/>
        <w:ind w:firstLine="640" w:firstLineChars="200"/>
        <w:rPr>
          <w:rFonts w:hint="eastAsia" w:ascii="仿宋_GB2312" w:hAnsi="Times New Roman" w:eastAsia="仿宋_GB2312" w:cs="Times New Roman"/>
          <w:sz w:val="32"/>
        </w:rPr>
      </w:pPr>
      <w:r>
        <w:rPr>
          <w:rFonts w:hint="eastAsia" w:ascii="黑体" w:hAnsi="黑体" w:eastAsia="黑体" w:cs="Times New Roman"/>
          <w:sz w:val="32"/>
          <w:lang w:val="en-US" w:eastAsia="zh-CN"/>
        </w:rPr>
        <w:t>8.</w:t>
      </w:r>
      <w:r>
        <w:rPr>
          <w:rFonts w:hint="eastAsia" w:ascii="仿宋_GB2312" w:hAnsi="Times New Roman" w:eastAsia="仿宋_GB2312" w:cs="Times New Roman"/>
          <w:sz w:val="32"/>
        </w:rPr>
        <w:t>负责对全区各级工会女工组织进行指导服务，保障女职工的合法权益，开展女职工建功立业活动。</w:t>
      </w:r>
    </w:p>
    <w:p>
      <w:pPr>
        <w:spacing w:line="576" w:lineRule="exact"/>
        <w:ind w:firstLine="640" w:firstLineChars="200"/>
        <w:rPr>
          <w:rFonts w:hint="eastAsia" w:ascii="仿宋_GB2312" w:hAnsi="Times New Roman" w:eastAsia="仿宋_GB2312" w:cs="Times New Roman"/>
          <w:sz w:val="32"/>
        </w:rPr>
      </w:pPr>
      <w:r>
        <w:rPr>
          <w:rFonts w:hint="eastAsia" w:ascii="黑体" w:hAnsi="黑体" w:eastAsia="黑体" w:cs="Times New Roman"/>
          <w:sz w:val="32"/>
          <w:lang w:val="en-US" w:eastAsia="zh-CN"/>
        </w:rPr>
        <w:t>9.</w:t>
      </w:r>
      <w:r>
        <w:rPr>
          <w:rFonts w:hint="eastAsia" w:ascii="仿宋_GB2312" w:hAnsi="Times New Roman" w:eastAsia="仿宋_GB2312" w:cs="Times New Roman"/>
          <w:sz w:val="32"/>
        </w:rPr>
        <w:t xml:space="preserve"> 完成区党工委、管委会和市总工会交办的其它工作。</w:t>
      </w:r>
    </w:p>
    <w:p>
      <w:pPr>
        <w:widowControl/>
        <w:numPr>
          <w:ilvl w:val="0"/>
          <w:numId w:val="4"/>
        </w:numPr>
        <w:adjustRightInd w:val="0"/>
        <w:snapToGrid w:val="0"/>
        <w:spacing w:line="620" w:lineRule="exact"/>
        <w:ind w:left="0" w:leftChars="0"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人员概况</w:t>
      </w:r>
    </w:p>
    <w:p>
      <w:pPr>
        <w:widowControl/>
        <w:adjustRightInd w:val="0"/>
        <w:snapToGrid w:val="0"/>
        <w:spacing w:line="620" w:lineRule="exact"/>
        <w:ind w:firstLine="640" w:firstLineChars="200"/>
        <w:contextualSpacing/>
        <w:jc w:val="left"/>
        <w:rPr>
          <w:rFonts w:hint="default"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zh-CN"/>
        </w:rPr>
        <w:t>我会</w:t>
      </w:r>
      <w:r>
        <w:rPr>
          <w:rFonts w:hint="eastAsia" w:ascii="Times New Roman" w:hAnsi="Times New Roman" w:eastAsia="仿宋_GB2312" w:cs="Times New Roman"/>
          <w:color w:val="000000"/>
          <w:kern w:val="0"/>
          <w:sz w:val="32"/>
          <w:szCs w:val="32"/>
          <w:shd w:val="clear" w:color="auto" w:fill="FFFFFF"/>
          <w:lang w:val="en-US" w:eastAsia="zh-CN"/>
        </w:rPr>
        <w:t>2023年</w:t>
      </w:r>
      <w:r>
        <w:rPr>
          <w:rFonts w:hint="eastAsia" w:ascii="Times New Roman" w:hAnsi="Times New Roman" w:eastAsia="仿宋_GB2312" w:cs="Times New Roman"/>
          <w:color w:val="000000"/>
          <w:kern w:val="0"/>
          <w:sz w:val="32"/>
          <w:szCs w:val="32"/>
          <w:shd w:val="clear" w:color="auto" w:fill="FFFFFF"/>
          <w:lang w:val="zh-CN"/>
        </w:rPr>
        <w:t>年末在职人员</w:t>
      </w:r>
      <w:r>
        <w:rPr>
          <w:rFonts w:hint="eastAsia" w:ascii="Times New Roman" w:hAnsi="Times New Roman" w:eastAsia="仿宋_GB2312" w:cs="Times New Roman"/>
          <w:color w:val="000000"/>
          <w:kern w:val="0"/>
          <w:sz w:val="32"/>
          <w:szCs w:val="32"/>
          <w:shd w:val="clear" w:color="auto" w:fill="FFFFFF"/>
          <w:lang w:val="en-US" w:eastAsia="zh-CN"/>
        </w:rPr>
        <w:t>26</w:t>
      </w:r>
      <w:r>
        <w:rPr>
          <w:rFonts w:hint="eastAsia" w:ascii="Times New Roman" w:hAnsi="Times New Roman" w:eastAsia="仿宋_GB2312" w:cs="Times New Roman"/>
          <w:color w:val="000000"/>
          <w:kern w:val="0"/>
          <w:sz w:val="32"/>
          <w:szCs w:val="32"/>
          <w:shd w:val="clear" w:color="auto" w:fill="FFFFFF"/>
          <w:lang w:val="zh-CN"/>
        </w:rPr>
        <w:t>人，财政人员</w:t>
      </w:r>
      <w:r>
        <w:rPr>
          <w:rFonts w:hint="eastAsia" w:ascii="Times New Roman" w:hAnsi="Times New Roman" w:eastAsia="仿宋_GB2312" w:cs="Times New Roman"/>
          <w:color w:val="000000"/>
          <w:kern w:val="0"/>
          <w:sz w:val="32"/>
          <w:szCs w:val="32"/>
          <w:shd w:val="clear" w:color="auto" w:fill="FFFFFF"/>
          <w:lang w:val="en-US" w:eastAsia="zh-CN"/>
        </w:rPr>
        <w:t>5人，工会工作者21人。</w:t>
      </w:r>
    </w:p>
    <w:p>
      <w:pPr>
        <w:widowControl/>
        <w:adjustRightInd w:val="0"/>
        <w:snapToGrid w:val="0"/>
        <w:spacing w:line="620" w:lineRule="exact"/>
        <w:ind w:firstLine="640" w:firstLineChars="200"/>
        <w:contextualSpacing/>
        <w:jc w:val="left"/>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二、部门财政资金收支情况</w:t>
      </w:r>
    </w:p>
    <w:p>
      <w:pPr>
        <w:widowControl/>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（一）部门财政资金收入情况</w:t>
      </w:r>
    </w:p>
    <w:p>
      <w:pPr>
        <w:widowControl/>
        <w:adjustRightInd w:val="0"/>
        <w:snapToGrid w:val="0"/>
        <w:spacing w:line="620" w:lineRule="exact"/>
        <w:ind w:firstLine="640" w:firstLineChars="200"/>
        <w:contextualSpacing/>
        <w:jc w:val="left"/>
        <w:rPr>
          <w:rFonts w:hint="default" w:ascii="Times New Roman" w:hAnsi="Times New Roman" w:eastAsia="仿宋_GB2312" w:cs="Times New Roman"/>
          <w:color w:val="000000"/>
          <w:kern w:val="0"/>
          <w:sz w:val="32"/>
          <w:szCs w:val="32"/>
          <w:shd w:val="clear" w:color="auto" w:fill="FFFFFF"/>
          <w:lang w:val="en-US"/>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年，我</w:t>
      </w:r>
      <w:r>
        <w:rPr>
          <w:rFonts w:hint="eastAsia" w:ascii="Times New Roman" w:hAnsi="Times New Roman" w:eastAsia="仿宋_GB2312" w:cs="Times New Roman"/>
          <w:sz w:val="32"/>
          <w:szCs w:val="32"/>
          <w:lang w:eastAsia="zh-CN"/>
        </w:rPr>
        <w:t>会</w:t>
      </w:r>
      <w:r>
        <w:rPr>
          <w:rFonts w:hint="eastAsia" w:ascii="Times New Roman" w:hAnsi="Times New Roman" w:eastAsia="仿宋_GB2312" w:cs="Times New Roman"/>
          <w:sz w:val="32"/>
          <w:szCs w:val="32"/>
        </w:rPr>
        <w:t>当年财政拨款收入</w:t>
      </w:r>
      <w:r>
        <w:rPr>
          <w:rFonts w:hint="eastAsia" w:ascii="Times New Roman" w:hAnsi="Times New Roman" w:eastAsia="仿宋_GB2312" w:cs="Times New Roman"/>
          <w:sz w:val="32"/>
          <w:szCs w:val="32"/>
          <w:lang w:val="en-US" w:eastAsia="zh-CN"/>
        </w:rPr>
        <w:t>38.47</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一般公共预算财政拨款</w:t>
      </w:r>
      <w:r>
        <w:rPr>
          <w:rFonts w:hint="eastAsia" w:ascii="Times New Roman" w:hAnsi="Times New Roman" w:eastAsia="仿宋_GB2312" w:cs="Times New Roman"/>
          <w:sz w:val="32"/>
          <w:szCs w:val="32"/>
          <w:lang w:val="en-US" w:eastAsia="zh-CN"/>
        </w:rPr>
        <w:t>38.47</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color w:val="000000"/>
          <w:sz w:val="32"/>
          <w:szCs w:val="32"/>
        </w:rPr>
        <w:t>。</w:t>
      </w:r>
    </w:p>
    <w:p>
      <w:pPr>
        <w:widowControl/>
        <w:numPr>
          <w:ilvl w:val="0"/>
          <w:numId w:val="5"/>
        </w:numPr>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部门财政资金支出情况</w:t>
      </w:r>
    </w:p>
    <w:p>
      <w:pPr>
        <w:widowControl/>
        <w:numPr>
          <w:ilvl w:val="0"/>
          <w:numId w:val="0"/>
        </w:numPr>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highlight w:val="none"/>
          <w:shd w:val="clear" w:color="auto" w:fill="FFFFFF"/>
          <w:lang w:val="zh-CN"/>
        </w:rPr>
      </w:pPr>
      <w:r>
        <w:rPr>
          <w:rFonts w:hint="eastAsia" w:ascii="Times New Roman" w:hAnsi="Times New Roman" w:eastAsia="仿宋_GB2312" w:cs="Times New Roman"/>
          <w:color w:val="000000"/>
          <w:kern w:val="0"/>
          <w:sz w:val="32"/>
          <w:szCs w:val="32"/>
          <w:highlight w:val="none"/>
          <w:shd w:val="clear" w:color="auto" w:fill="FFFFFF"/>
          <w:lang w:val="zh-CN"/>
        </w:rPr>
        <w:t>202</w:t>
      </w:r>
      <w:r>
        <w:rPr>
          <w:rFonts w:hint="eastAsia" w:ascii="Times New Roman" w:hAnsi="Times New Roman" w:eastAsia="仿宋_GB2312" w:cs="Times New Roman"/>
          <w:color w:val="000000"/>
          <w:kern w:val="0"/>
          <w:sz w:val="32"/>
          <w:szCs w:val="32"/>
          <w:highlight w:val="none"/>
          <w:shd w:val="clear" w:color="auto" w:fill="FFFFFF"/>
          <w:lang w:val="en-US" w:eastAsia="zh-CN"/>
        </w:rPr>
        <w:t>3</w:t>
      </w:r>
      <w:r>
        <w:rPr>
          <w:rFonts w:hint="eastAsia" w:ascii="Times New Roman" w:hAnsi="Times New Roman" w:eastAsia="仿宋_GB2312" w:cs="Times New Roman"/>
          <w:color w:val="000000"/>
          <w:kern w:val="0"/>
          <w:sz w:val="32"/>
          <w:szCs w:val="32"/>
          <w:highlight w:val="none"/>
          <w:shd w:val="clear" w:color="auto" w:fill="FFFFFF"/>
          <w:lang w:val="zh-CN"/>
        </w:rPr>
        <w:t>年，我会财政拨款支出</w:t>
      </w:r>
      <w:r>
        <w:rPr>
          <w:rFonts w:hint="eastAsia" w:ascii="Times New Roman" w:hAnsi="Times New Roman" w:eastAsia="仿宋_GB2312" w:cs="Times New Roman"/>
          <w:color w:val="000000"/>
          <w:kern w:val="0"/>
          <w:sz w:val="32"/>
          <w:szCs w:val="32"/>
          <w:highlight w:val="none"/>
          <w:shd w:val="clear" w:color="auto" w:fill="FFFFFF"/>
          <w:lang w:val="en-US" w:eastAsia="zh-CN"/>
        </w:rPr>
        <w:t>38.47</w:t>
      </w:r>
      <w:r>
        <w:rPr>
          <w:rFonts w:hint="eastAsia" w:ascii="Times New Roman" w:hAnsi="Times New Roman" w:eastAsia="仿宋_GB2312" w:cs="Times New Roman"/>
          <w:color w:val="000000"/>
          <w:kern w:val="0"/>
          <w:sz w:val="32"/>
          <w:szCs w:val="32"/>
          <w:highlight w:val="none"/>
          <w:shd w:val="clear" w:color="auto" w:fill="FFFFFF"/>
          <w:lang w:val="zh-CN"/>
        </w:rPr>
        <w:t>万元,其中：一般公共服务支出</w:t>
      </w:r>
      <w:r>
        <w:rPr>
          <w:rFonts w:hint="eastAsia" w:ascii="Times New Roman" w:hAnsi="Times New Roman" w:eastAsia="仿宋_GB2312" w:cs="Times New Roman"/>
          <w:color w:val="000000"/>
          <w:kern w:val="0"/>
          <w:sz w:val="32"/>
          <w:szCs w:val="32"/>
          <w:highlight w:val="none"/>
          <w:shd w:val="clear" w:color="auto" w:fill="FFFFFF"/>
          <w:lang w:val="en-US" w:eastAsia="zh-CN"/>
        </w:rPr>
        <w:t>38.47万元</w:t>
      </w:r>
      <w:r>
        <w:rPr>
          <w:rFonts w:hint="eastAsia" w:ascii="Times New Roman" w:hAnsi="Times New Roman" w:eastAsia="仿宋_GB2312" w:cs="Times New Roman"/>
          <w:color w:val="000000"/>
          <w:kern w:val="0"/>
          <w:sz w:val="32"/>
          <w:szCs w:val="32"/>
          <w:highlight w:val="none"/>
          <w:shd w:val="clear" w:color="auto" w:fill="FFFFFF"/>
          <w:lang w:val="zh-CN"/>
        </w:rPr>
        <w:t>。主要用于保障机关正常运转、完成日常工作任务以及开展相关活动工作。</w:t>
      </w:r>
    </w:p>
    <w:p>
      <w:pPr>
        <w:widowControl/>
        <w:numPr>
          <w:ilvl w:val="0"/>
          <w:numId w:val="0"/>
        </w:numPr>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highlight w:val="none"/>
          <w:shd w:val="clear" w:color="auto" w:fill="FFFFFF"/>
          <w:lang w:val="zh-CN"/>
        </w:rPr>
      </w:pPr>
      <w:r>
        <w:rPr>
          <w:rFonts w:hint="eastAsia" w:ascii="Times New Roman" w:hAnsi="Times New Roman" w:eastAsia="仿宋_GB2312" w:cs="Times New Roman"/>
          <w:color w:val="000000"/>
          <w:kern w:val="0"/>
          <w:sz w:val="32"/>
          <w:szCs w:val="32"/>
          <w:highlight w:val="none"/>
          <w:shd w:val="clear" w:color="auto" w:fill="FFFFFF"/>
          <w:lang w:val="zh-CN"/>
        </w:rPr>
        <w:t>基本支出</w:t>
      </w:r>
      <w:r>
        <w:rPr>
          <w:rFonts w:hint="eastAsia" w:ascii="Times New Roman" w:hAnsi="Times New Roman" w:eastAsia="仿宋_GB2312" w:cs="Times New Roman"/>
          <w:color w:val="000000"/>
          <w:kern w:val="0"/>
          <w:sz w:val="32"/>
          <w:szCs w:val="32"/>
          <w:highlight w:val="none"/>
          <w:shd w:val="clear" w:color="auto" w:fill="FFFFFF"/>
          <w:lang w:val="en-US" w:eastAsia="zh-CN"/>
        </w:rPr>
        <w:t>7.55</w:t>
      </w:r>
      <w:r>
        <w:rPr>
          <w:rFonts w:hint="eastAsia" w:ascii="Times New Roman" w:hAnsi="Times New Roman" w:eastAsia="仿宋_GB2312" w:cs="Times New Roman"/>
          <w:color w:val="000000"/>
          <w:kern w:val="0"/>
          <w:sz w:val="32"/>
          <w:szCs w:val="32"/>
          <w:highlight w:val="none"/>
          <w:shd w:val="clear" w:color="auto" w:fill="FFFFFF"/>
          <w:lang w:val="zh-CN"/>
        </w:rPr>
        <w:t>万元，占总支出的</w:t>
      </w:r>
      <w:r>
        <w:rPr>
          <w:rFonts w:hint="eastAsia" w:ascii="Times New Roman" w:hAnsi="Times New Roman" w:eastAsia="仿宋_GB2312" w:cs="Times New Roman"/>
          <w:color w:val="000000"/>
          <w:kern w:val="0"/>
          <w:sz w:val="32"/>
          <w:szCs w:val="32"/>
          <w:highlight w:val="none"/>
          <w:shd w:val="clear" w:color="auto" w:fill="FFFFFF"/>
          <w:lang w:val="en-US" w:eastAsia="zh-CN"/>
        </w:rPr>
        <w:t>19.63</w:t>
      </w:r>
      <w:r>
        <w:rPr>
          <w:rFonts w:hint="eastAsia" w:ascii="Times New Roman" w:hAnsi="Times New Roman" w:eastAsia="仿宋_GB2312" w:cs="Times New Roman"/>
          <w:color w:val="000000"/>
          <w:kern w:val="0"/>
          <w:sz w:val="32"/>
          <w:szCs w:val="32"/>
          <w:highlight w:val="none"/>
          <w:shd w:val="clear" w:color="auto" w:fill="FFFFFF"/>
          <w:lang w:val="zh-CN"/>
        </w:rPr>
        <w:t>%，用于保障部门正常运转的日常支出，包括办公费、水电费、差旅费等日常公用经费。</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highlight w:val="none"/>
          <w:shd w:val="clear" w:color="auto" w:fill="FFFFFF"/>
          <w:lang w:val="zh-CN"/>
        </w:rPr>
      </w:pPr>
      <w:r>
        <w:rPr>
          <w:rFonts w:hint="eastAsia" w:ascii="Times New Roman" w:hAnsi="Times New Roman" w:eastAsia="仿宋_GB2312" w:cs="Times New Roman"/>
          <w:color w:val="000000"/>
          <w:kern w:val="0"/>
          <w:sz w:val="32"/>
          <w:szCs w:val="32"/>
          <w:highlight w:val="none"/>
          <w:shd w:val="clear" w:color="auto" w:fill="FFFFFF"/>
          <w:lang w:val="zh-CN"/>
        </w:rPr>
        <w:t>项目支出</w:t>
      </w:r>
      <w:r>
        <w:rPr>
          <w:rFonts w:hint="eastAsia" w:ascii="Times New Roman" w:hAnsi="Times New Roman" w:eastAsia="仿宋_GB2312" w:cs="Times New Roman"/>
          <w:color w:val="000000"/>
          <w:kern w:val="0"/>
          <w:sz w:val="32"/>
          <w:szCs w:val="32"/>
          <w:highlight w:val="none"/>
          <w:shd w:val="clear" w:color="auto" w:fill="FFFFFF"/>
          <w:lang w:val="en-US" w:eastAsia="zh-CN"/>
        </w:rPr>
        <w:t>30.92</w:t>
      </w:r>
      <w:r>
        <w:rPr>
          <w:rFonts w:hint="eastAsia" w:ascii="Times New Roman" w:hAnsi="Times New Roman" w:eastAsia="仿宋_GB2312" w:cs="Times New Roman"/>
          <w:color w:val="000000"/>
          <w:kern w:val="0"/>
          <w:sz w:val="32"/>
          <w:szCs w:val="32"/>
          <w:highlight w:val="none"/>
          <w:shd w:val="clear" w:color="auto" w:fill="FFFFFF"/>
          <w:lang w:val="zh-CN"/>
        </w:rPr>
        <w:t>万元，占总支出的</w:t>
      </w:r>
      <w:r>
        <w:rPr>
          <w:rFonts w:hint="eastAsia" w:ascii="Times New Roman" w:hAnsi="Times New Roman" w:eastAsia="仿宋_GB2312" w:cs="Times New Roman"/>
          <w:color w:val="000000"/>
          <w:kern w:val="0"/>
          <w:sz w:val="32"/>
          <w:szCs w:val="32"/>
          <w:highlight w:val="none"/>
          <w:shd w:val="clear" w:color="auto" w:fill="FFFFFF"/>
          <w:lang w:val="en-US" w:eastAsia="zh-CN"/>
        </w:rPr>
        <w:t>80.37</w:t>
      </w:r>
      <w:r>
        <w:rPr>
          <w:rFonts w:hint="eastAsia" w:ascii="Times New Roman" w:hAnsi="Times New Roman" w:eastAsia="仿宋_GB2312" w:cs="Times New Roman"/>
          <w:color w:val="000000"/>
          <w:kern w:val="0"/>
          <w:sz w:val="32"/>
          <w:szCs w:val="32"/>
          <w:highlight w:val="none"/>
          <w:shd w:val="clear" w:color="auto" w:fill="FFFFFF"/>
          <w:lang w:val="zh-CN"/>
        </w:rPr>
        <w:t>%，主要用于保障单位职工身体健康以及慰问活动顺利开展。</w:t>
      </w:r>
    </w:p>
    <w:p>
      <w:pPr>
        <w:widowControl/>
        <w:adjustRightInd w:val="0"/>
        <w:snapToGrid w:val="0"/>
        <w:spacing w:line="620" w:lineRule="exact"/>
        <w:ind w:firstLine="640" w:firstLineChars="200"/>
        <w:contextualSpacing/>
        <w:jc w:val="left"/>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三、部门整体预算绩效管理情况</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（一）部门预算管理</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1.部门绩效目标制定</w:t>
      </w:r>
    </w:p>
    <w:p>
      <w:pPr>
        <w:widowControl w:val="0"/>
        <w:numPr>
          <w:ilvl w:val="0"/>
          <w:numId w:val="0"/>
        </w:numPr>
        <w:ind w:leftChars="0" w:firstLine="640" w:firstLineChars="200"/>
        <w:jc w:val="both"/>
        <w:rPr>
          <w:rFonts w:hint="eastAsia" w:ascii="Times New Roman" w:hAnsi="Times New Roman" w:eastAsia="仿宋_GB2312" w:cs="Times New Roman"/>
          <w:color w:val="000000"/>
          <w:kern w:val="0"/>
          <w:sz w:val="32"/>
          <w:szCs w:val="32"/>
          <w:highlight w:val="none"/>
          <w:shd w:val="clear" w:color="auto" w:fill="FFFFFF"/>
          <w:lang w:val="en-US" w:eastAsia="zh-CN" w:bidi="ar-SA"/>
        </w:rPr>
      </w:pPr>
      <w:r>
        <w:rPr>
          <w:rFonts w:hint="eastAsia" w:ascii="Times New Roman" w:hAnsi="Times New Roman" w:eastAsia="仿宋_GB2312" w:cs="Times New Roman"/>
          <w:color w:val="000000"/>
          <w:kern w:val="0"/>
          <w:sz w:val="32"/>
          <w:szCs w:val="32"/>
          <w:shd w:val="clear" w:color="auto" w:fill="FFFFFF"/>
          <w:lang w:val="zh-CN" w:eastAsia="zh-CN" w:bidi="ar-SA"/>
        </w:rPr>
        <w:t>我会202</w:t>
      </w:r>
      <w:r>
        <w:rPr>
          <w:rFonts w:hint="eastAsia" w:ascii="Times New Roman" w:hAnsi="Times New Roman" w:eastAsia="仿宋_GB2312" w:cs="Times New Roman"/>
          <w:color w:val="000000"/>
          <w:kern w:val="0"/>
          <w:sz w:val="32"/>
          <w:szCs w:val="32"/>
          <w:shd w:val="clear" w:color="auto" w:fill="FFFFFF"/>
          <w:lang w:val="en-US" w:eastAsia="zh-CN" w:bidi="ar-SA"/>
        </w:rPr>
        <w:t>3</w:t>
      </w:r>
      <w:r>
        <w:rPr>
          <w:rFonts w:hint="eastAsia" w:ascii="Times New Roman" w:hAnsi="Times New Roman" w:eastAsia="仿宋_GB2312" w:cs="Times New Roman"/>
          <w:color w:val="000000"/>
          <w:kern w:val="0"/>
          <w:sz w:val="32"/>
          <w:szCs w:val="32"/>
          <w:shd w:val="clear" w:color="auto" w:fill="FFFFFF"/>
          <w:lang w:val="zh-CN" w:eastAsia="zh-CN" w:bidi="ar-SA"/>
        </w:rPr>
        <w:t>年严格按照区财政部门预算编制口径及有关要求，依据我会职能职责和年度工作任务测算，提前细化专项预算，按时完成了预算基础数据库、项目库、预算草案的报审工作。同时，在规定时间内，保质保量地完成了项目资金绩效目标的编报，绩效目标要素完整，指标细化量化，编制程序严密。由财务室根据项目需求，与区财政局对预算草案相关数据沟通、衔接和优化调整后，编制部门预算草案报单位主席办公会审议，审议通过后报区财政局，审核通过情况良</w:t>
      </w:r>
      <w:r>
        <w:rPr>
          <w:rFonts w:hint="eastAsia" w:ascii="Times New Roman" w:hAnsi="Times New Roman" w:eastAsia="仿宋_GB2312" w:cs="Times New Roman"/>
          <w:color w:val="000000"/>
          <w:kern w:val="0"/>
          <w:sz w:val="32"/>
          <w:szCs w:val="32"/>
          <w:highlight w:val="none"/>
          <w:shd w:val="clear" w:color="auto" w:fill="FFFFFF"/>
          <w:lang w:val="zh-CN" w:eastAsia="zh-CN" w:bidi="ar-SA"/>
        </w:rPr>
        <w:t>好。202</w:t>
      </w:r>
      <w:r>
        <w:rPr>
          <w:rFonts w:hint="eastAsia" w:ascii="Times New Roman" w:hAnsi="Times New Roman" w:eastAsia="仿宋_GB2312" w:cs="Times New Roman"/>
          <w:color w:val="000000"/>
          <w:kern w:val="0"/>
          <w:sz w:val="32"/>
          <w:szCs w:val="32"/>
          <w:highlight w:val="none"/>
          <w:shd w:val="clear" w:color="auto" w:fill="FFFFFF"/>
          <w:lang w:val="en-US" w:eastAsia="zh-CN" w:bidi="ar-SA"/>
        </w:rPr>
        <w:t>3</w:t>
      </w:r>
      <w:r>
        <w:rPr>
          <w:rFonts w:hint="eastAsia" w:ascii="Times New Roman" w:hAnsi="Times New Roman" w:eastAsia="仿宋_GB2312" w:cs="Times New Roman"/>
          <w:color w:val="000000"/>
          <w:kern w:val="0"/>
          <w:sz w:val="32"/>
          <w:szCs w:val="32"/>
          <w:highlight w:val="none"/>
          <w:shd w:val="clear" w:color="auto" w:fill="FFFFFF"/>
          <w:lang w:val="zh-CN" w:eastAsia="zh-CN" w:bidi="ar-SA"/>
        </w:rPr>
        <w:t>年当年编制整体支出绩效目标共</w:t>
      </w:r>
      <w:r>
        <w:rPr>
          <w:rFonts w:hint="eastAsia" w:ascii="Times New Roman" w:hAnsi="Times New Roman" w:eastAsia="仿宋_GB2312" w:cs="Times New Roman"/>
          <w:color w:val="000000"/>
          <w:kern w:val="0"/>
          <w:sz w:val="32"/>
          <w:szCs w:val="32"/>
          <w:highlight w:val="none"/>
          <w:shd w:val="clear" w:color="auto" w:fill="FFFFFF"/>
          <w:lang w:val="en-US" w:eastAsia="zh-CN" w:bidi="ar-SA"/>
        </w:rPr>
        <w:t>2</w:t>
      </w:r>
      <w:r>
        <w:rPr>
          <w:rFonts w:hint="eastAsia" w:ascii="Times New Roman" w:hAnsi="Times New Roman" w:eastAsia="仿宋_GB2312" w:cs="Times New Roman"/>
          <w:color w:val="000000"/>
          <w:kern w:val="0"/>
          <w:sz w:val="32"/>
          <w:szCs w:val="32"/>
          <w:highlight w:val="none"/>
          <w:shd w:val="clear" w:color="auto" w:fill="FFFFFF"/>
          <w:lang w:val="zh-CN" w:eastAsia="zh-CN" w:bidi="ar-SA"/>
        </w:rPr>
        <w:t>个，涵盖了数量指标、质量指标、时效指标、可持续发展指标、成本指标、社会效益指标、满意度指标</w:t>
      </w:r>
      <w:r>
        <w:rPr>
          <w:rFonts w:hint="eastAsia" w:ascii="Times New Roman" w:hAnsi="Times New Roman" w:eastAsia="仿宋_GB2312" w:cs="Times New Roman"/>
          <w:color w:val="000000"/>
          <w:kern w:val="0"/>
          <w:sz w:val="32"/>
          <w:szCs w:val="32"/>
          <w:highlight w:val="none"/>
          <w:shd w:val="clear" w:color="auto" w:fill="FFFFFF"/>
          <w:lang w:val="en-US" w:eastAsia="zh-CN" w:bidi="ar-SA"/>
        </w:rPr>
        <w:t>7个方面。</w:t>
      </w:r>
    </w:p>
    <w:p>
      <w:pPr>
        <w:widowControl w:val="0"/>
        <w:numPr>
          <w:ilvl w:val="0"/>
          <w:numId w:val="0"/>
        </w:numPr>
        <w:ind w:leftChars="0" w:firstLine="640" w:firstLineChars="200"/>
        <w:jc w:val="both"/>
        <w:rPr>
          <w:rFonts w:hint="eastAsia" w:ascii="Times New Roman" w:hAnsi="Times New Roman" w:eastAsia="仿宋_GB2312" w:cs="Times New Roman"/>
          <w:color w:val="000000"/>
          <w:kern w:val="0"/>
          <w:sz w:val="32"/>
          <w:szCs w:val="32"/>
          <w:highlight w:val="none"/>
          <w:shd w:val="clear" w:color="auto" w:fill="FFFFFF"/>
          <w:lang w:val="en-US" w:eastAsia="zh-CN" w:bidi="ar-SA"/>
        </w:rPr>
      </w:pPr>
      <w:r>
        <w:rPr>
          <w:rFonts w:hint="eastAsia" w:ascii="Times New Roman" w:hAnsi="Times New Roman" w:eastAsia="仿宋_GB2312" w:cs="Times New Roman"/>
          <w:color w:val="000000"/>
          <w:kern w:val="0"/>
          <w:sz w:val="32"/>
          <w:szCs w:val="32"/>
          <w:highlight w:val="none"/>
          <w:shd w:val="clear" w:color="auto" w:fill="FFFFFF"/>
          <w:lang w:val="en-US" w:eastAsia="zh-CN" w:bidi="ar-SA"/>
        </w:rPr>
        <w:t>绩效目标纳入部门党组（委）会（办公会）集体决策范围（根据2023年3月24日第一次办公会（扩大）会议纪要  将2023年绩效目标纳入决策，结果是同意执行）</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highlight w:val="none"/>
          <w:shd w:val="clear" w:color="auto" w:fill="FFFFFF"/>
          <w:lang w:val="zh-CN" w:eastAsia="zh-CN" w:bidi="ar-SA"/>
        </w:rPr>
      </w:pPr>
      <w:r>
        <w:rPr>
          <w:rFonts w:hint="eastAsia" w:ascii="Times New Roman" w:hAnsi="Times New Roman" w:eastAsia="仿宋_GB2312" w:cs="Times New Roman"/>
          <w:color w:val="000000"/>
          <w:kern w:val="0"/>
          <w:sz w:val="32"/>
          <w:szCs w:val="32"/>
          <w:highlight w:val="none"/>
          <w:shd w:val="clear" w:color="auto" w:fill="FFFFFF"/>
          <w:lang w:val="en-US" w:eastAsia="zh-CN" w:bidi="ar-SA"/>
        </w:rPr>
        <w:t>2</w:t>
      </w:r>
      <w:r>
        <w:rPr>
          <w:rFonts w:hint="eastAsia" w:ascii="Times New Roman" w:hAnsi="Times New Roman" w:eastAsia="仿宋_GB2312" w:cs="Times New Roman"/>
          <w:color w:val="000000"/>
          <w:kern w:val="0"/>
          <w:sz w:val="32"/>
          <w:szCs w:val="32"/>
          <w:highlight w:val="none"/>
          <w:shd w:val="clear" w:color="auto" w:fill="FFFFFF"/>
          <w:lang w:val="zh-CN" w:eastAsia="zh-CN" w:bidi="ar-SA"/>
        </w:rPr>
        <w:t>.目标完成</w:t>
      </w:r>
    </w:p>
    <w:p>
      <w:pPr>
        <w:keepNext w:val="0"/>
        <w:keepLines w:val="0"/>
        <w:pageBreakBefore w:val="0"/>
        <w:widowControl w:val="0"/>
        <w:numPr>
          <w:ilvl w:val="0"/>
          <w:numId w:val="0"/>
        </w:numPr>
        <w:kinsoku/>
        <w:wordWrap/>
        <w:overflowPunct/>
        <w:topLinePunct w:val="0"/>
        <w:autoSpaceDE/>
        <w:autoSpaceDN/>
        <w:bidi w:val="0"/>
        <w:adjustRightInd/>
        <w:snapToGrid/>
        <w:ind w:left="22" w:leftChars="0" w:hanging="22" w:hangingChars="7"/>
        <w:jc w:val="both"/>
        <w:textAlignment w:val="auto"/>
        <w:rPr>
          <w:rFonts w:hint="eastAsia" w:ascii="Times New Roman" w:hAnsi="Times New Roman" w:eastAsia="仿宋_GB2312" w:cs="Times New Roman"/>
          <w:color w:val="000000"/>
          <w:kern w:val="0"/>
          <w:sz w:val="32"/>
          <w:szCs w:val="32"/>
          <w:highlight w:val="none"/>
          <w:shd w:val="clear" w:color="auto" w:fill="FFFFFF"/>
          <w:lang w:val="en-US" w:eastAsia="zh-CN" w:bidi="ar-SA"/>
        </w:rPr>
      </w:pPr>
      <w:r>
        <w:rPr>
          <w:rFonts w:hint="eastAsia" w:ascii="Times New Roman" w:hAnsi="Times New Roman" w:eastAsia="仿宋_GB2312" w:cs="Times New Roman"/>
          <w:color w:val="000000"/>
          <w:kern w:val="0"/>
          <w:sz w:val="32"/>
          <w:szCs w:val="32"/>
          <w:highlight w:val="none"/>
          <w:shd w:val="clear" w:color="auto" w:fill="FFFFFF"/>
          <w:lang w:val="en-US" w:eastAsia="zh-CN" w:bidi="ar-SA"/>
        </w:rPr>
        <w:t xml:space="preserve">    本部门年度开展2个项目，共计30.97万元，绩效目标完成率100%。一是工会人员体检项目，根据领导批示，将该笔项目经费0.97万元用于人员体检支出，2023年执行完该项目。二是工会经费项目，根据遂开工[2023]22号及领导批示，该笔项目经费30.00万元用于管委会干部职工活动支出，2023年执行完该项目。</w:t>
      </w:r>
    </w:p>
    <w:p>
      <w:pPr>
        <w:keepNext w:val="0"/>
        <w:keepLines w:val="0"/>
        <w:pageBreakBefore w:val="0"/>
        <w:widowControl w:val="0"/>
        <w:numPr>
          <w:ilvl w:val="0"/>
          <w:numId w:val="0"/>
        </w:numPr>
        <w:kinsoku/>
        <w:wordWrap/>
        <w:overflowPunct/>
        <w:topLinePunct w:val="0"/>
        <w:autoSpaceDE/>
        <w:autoSpaceDN/>
        <w:bidi w:val="0"/>
        <w:adjustRightInd/>
        <w:snapToGrid/>
        <w:ind w:left="22" w:leftChars="0" w:hanging="22" w:hangingChars="7"/>
        <w:jc w:val="both"/>
        <w:textAlignment w:val="auto"/>
        <w:rPr>
          <w:rFonts w:hint="eastAsia" w:ascii="Times New Roman" w:hAnsi="Times New Roman" w:eastAsia="仿宋_GB2312" w:cs="Times New Roman"/>
          <w:color w:val="000000"/>
          <w:kern w:val="0"/>
          <w:sz w:val="32"/>
          <w:szCs w:val="32"/>
          <w:highlight w:val="none"/>
          <w:shd w:val="clear" w:color="auto" w:fill="FFFFFF"/>
          <w:lang w:val="en-US" w:eastAsia="zh-CN" w:bidi="ar-SA"/>
        </w:rPr>
      </w:pPr>
    </w:p>
    <w:p>
      <w:pPr>
        <w:pStyle w:val="2"/>
        <w:widowControl w:val="0"/>
        <w:numPr>
          <w:ilvl w:val="0"/>
          <w:numId w:val="0"/>
        </w:numPr>
        <w:jc w:val="both"/>
        <w:rPr>
          <w:rFonts w:hint="eastAsia" w:ascii="Times New Roman" w:hAnsi="Times New Roman" w:eastAsia="仿宋_GB2312" w:cs="Times New Roman"/>
          <w:color w:val="000000"/>
          <w:kern w:val="0"/>
          <w:sz w:val="32"/>
          <w:szCs w:val="32"/>
          <w:highlight w:val="none"/>
          <w:shd w:val="clear" w:color="auto" w:fill="FFFFFF"/>
          <w:lang w:val="en-US" w:eastAsia="zh-CN" w:bidi="ar-SA"/>
        </w:rPr>
      </w:pPr>
    </w:p>
    <w:p>
      <w:pPr>
        <w:pStyle w:val="2"/>
        <w:widowControl w:val="0"/>
        <w:numPr>
          <w:ilvl w:val="0"/>
          <w:numId w:val="0"/>
        </w:numPr>
        <w:jc w:val="both"/>
        <w:rPr>
          <w:rFonts w:hint="eastAsia" w:ascii="Times New Roman" w:hAnsi="Times New Roman" w:eastAsia="仿宋_GB2312" w:cs="Times New Roman"/>
          <w:color w:val="000000"/>
          <w:kern w:val="0"/>
          <w:sz w:val="32"/>
          <w:szCs w:val="32"/>
          <w:highlight w:val="none"/>
          <w:shd w:val="clear" w:color="auto" w:fill="FFFFFF"/>
          <w:lang w:val="en-US" w:eastAsia="zh-CN" w:bidi="ar-SA"/>
        </w:rPr>
      </w:pPr>
    </w:p>
    <w:tbl>
      <w:tblPr>
        <w:tblStyle w:val="15"/>
        <w:tblpPr w:leftFromText="180" w:rightFromText="180" w:vertAnchor="text" w:horzAnchor="page" w:tblpX="1256" w:tblpY="221"/>
        <w:tblOverlap w:val="never"/>
        <w:tblW w:w="8960" w:type="dxa"/>
        <w:tblInd w:w="0" w:type="dxa"/>
        <w:tblLayout w:type="fixed"/>
        <w:tblCellMar>
          <w:top w:w="0" w:type="dxa"/>
          <w:left w:w="108" w:type="dxa"/>
          <w:bottom w:w="0" w:type="dxa"/>
          <w:right w:w="108" w:type="dxa"/>
        </w:tblCellMar>
      </w:tblPr>
      <w:tblGrid>
        <w:gridCol w:w="1827"/>
        <w:gridCol w:w="1111"/>
        <w:gridCol w:w="1572"/>
        <w:gridCol w:w="1515"/>
        <w:gridCol w:w="1215"/>
        <w:gridCol w:w="1720"/>
      </w:tblGrid>
      <w:tr>
        <w:tblPrEx>
          <w:tblCellMar>
            <w:top w:w="0" w:type="dxa"/>
            <w:left w:w="108" w:type="dxa"/>
            <w:bottom w:w="0" w:type="dxa"/>
            <w:right w:w="108" w:type="dxa"/>
          </w:tblCellMar>
        </w:tblPrEx>
        <w:trPr>
          <w:trHeight w:val="865" w:hRule="atLeast"/>
        </w:trPr>
        <w:tc>
          <w:tcPr>
            <w:tcW w:w="8960"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人员体检</w:t>
            </w:r>
            <w:r>
              <w:rPr>
                <w:rFonts w:hint="eastAsia" w:ascii="方正小标宋简体" w:hAnsi="宋体" w:eastAsia="方正小标宋简体" w:cs="宋体"/>
                <w:color w:val="000000"/>
                <w:sz w:val="40"/>
                <w:szCs w:val="44"/>
              </w:rPr>
              <w:t>预算项目绩效目标自评表</w:t>
            </w:r>
          </w:p>
        </w:tc>
      </w:tr>
      <w:tr>
        <w:tblPrEx>
          <w:tblCellMar>
            <w:top w:w="0" w:type="dxa"/>
            <w:left w:w="108" w:type="dxa"/>
            <w:bottom w:w="0" w:type="dxa"/>
            <w:right w:w="108" w:type="dxa"/>
          </w:tblCellMar>
        </w:tblPrEx>
        <w:trPr>
          <w:trHeight w:val="833" w:hRule="atLeast"/>
        </w:trPr>
        <w:tc>
          <w:tcPr>
            <w:tcW w:w="293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主管部门及代码</w:t>
            </w:r>
          </w:p>
        </w:tc>
        <w:tc>
          <w:tcPr>
            <w:tcW w:w="3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遂宁经济技术开发区总工会</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实施单位</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遂宁经济技术开发区总工会</w:t>
            </w:r>
          </w:p>
        </w:tc>
      </w:tr>
      <w:tr>
        <w:tblPrEx>
          <w:tblCellMar>
            <w:top w:w="0" w:type="dxa"/>
            <w:left w:w="108" w:type="dxa"/>
            <w:bottom w:w="0" w:type="dxa"/>
            <w:right w:w="108" w:type="dxa"/>
          </w:tblCellMar>
        </w:tblPrEx>
        <w:trPr>
          <w:trHeight w:val="664" w:hRule="atLeast"/>
        </w:trPr>
        <w:tc>
          <w:tcPr>
            <w:tcW w:w="293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项目预算</w:t>
            </w:r>
          </w:p>
          <w:p>
            <w:pPr>
              <w:widowControl/>
              <w:spacing w:line="320" w:lineRule="exact"/>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执行情况</w:t>
            </w:r>
          </w:p>
          <w:p>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（万元）</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 预算数：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0.97</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 执行数：</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0.97</w:t>
            </w:r>
          </w:p>
        </w:tc>
      </w:tr>
      <w:tr>
        <w:tblPrEx>
          <w:tblCellMar>
            <w:top w:w="0" w:type="dxa"/>
            <w:left w:w="108" w:type="dxa"/>
            <w:bottom w:w="0" w:type="dxa"/>
            <w:right w:w="108" w:type="dxa"/>
          </w:tblCellMar>
        </w:tblPrEx>
        <w:trPr>
          <w:trHeight w:val="833" w:hRule="atLeast"/>
        </w:trPr>
        <w:tc>
          <w:tcPr>
            <w:tcW w:w="293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宋体" w:cs="宋体"/>
                <w:color w:val="000000"/>
                <w:sz w:val="24"/>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其中：</w:t>
            </w:r>
          </w:p>
          <w:p>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财政拨款</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0.97</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其中：</w:t>
            </w:r>
          </w:p>
          <w:p>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财政拨款</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0.97</w:t>
            </w:r>
          </w:p>
        </w:tc>
      </w:tr>
      <w:tr>
        <w:tblPrEx>
          <w:tblCellMar>
            <w:top w:w="0" w:type="dxa"/>
            <w:left w:w="108" w:type="dxa"/>
            <w:bottom w:w="0" w:type="dxa"/>
            <w:right w:w="108" w:type="dxa"/>
          </w:tblCellMar>
        </w:tblPrEx>
        <w:trPr>
          <w:trHeight w:val="450" w:hRule="atLeast"/>
        </w:trPr>
        <w:tc>
          <w:tcPr>
            <w:tcW w:w="293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宋体" w:cs="宋体"/>
                <w:color w:val="000000"/>
                <w:sz w:val="24"/>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其他资金</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其他资金</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0</w:t>
            </w:r>
          </w:p>
        </w:tc>
      </w:tr>
      <w:tr>
        <w:tblPrEx>
          <w:tblCellMar>
            <w:top w:w="0" w:type="dxa"/>
            <w:left w:w="108" w:type="dxa"/>
            <w:bottom w:w="0" w:type="dxa"/>
            <w:right w:w="108" w:type="dxa"/>
          </w:tblCellMar>
        </w:tblPrEx>
        <w:trPr>
          <w:trHeight w:val="423" w:hRule="atLeast"/>
        </w:trPr>
        <w:tc>
          <w:tcPr>
            <w:tcW w:w="182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年度总体目标</w:t>
            </w:r>
          </w:p>
          <w:p>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完成情况</w:t>
            </w:r>
          </w:p>
        </w:tc>
        <w:tc>
          <w:tcPr>
            <w:tcW w:w="41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预期目标</w:t>
            </w:r>
          </w:p>
        </w:tc>
        <w:tc>
          <w:tcPr>
            <w:tcW w:w="293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目标实际完成情况</w:t>
            </w:r>
          </w:p>
        </w:tc>
      </w:tr>
      <w:tr>
        <w:tblPrEx>
          <w:tblCellMar>
            <w:top w:w="0" w:type="dxa"/>
            <w:left w:w="108" w:type="dxa"/>
            <w:bottom w:w="0" w:type="dxa"/>
            <w:right w:w="108" w:type="dxa"/>
          </w:tblCellMar>
        </w:tblPrEx>
        <w:trPr>
          <w:trHeight w:val="712" w:hRule="atLeast"/>
        </w:trPr>
        <w:tc>
          <w:tcPr>
            <w:tcW w:w="18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宋体" w:cs="宋体"/>
                <w:color w:val="000000"/>
                <w:sz w:val="24"/>
              </w:rPr>
            </w:pPr>
          </w:p>
        </w:tc>
        <w:tc>
          <w:tcPr>
            <w:tcW w:w="419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及时组织人员进行体检，达到关心关爱单位职工目的</w:t>
            </w:r>
          </w:p>
        </w:tc>
        <w:tc>
          <w:tcPr>
            <w:tcW w:w="293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default"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2022年完成单位职工体检工作</w:t>
            </w:r>
          </w:p>
        </w:tc>
      </w:tr>
      <w:tr>
        <w:tblPrEx>
          <w:tblCellMar>
            <w:top w:w="0" w:type="dxa"/>
            <w:left w:w="108" w:type="dxa"/>
            <w:bottom w:w="0" w:type="dxa"/>
            <w:right w:w="108" w:type="dxa"/>
          </w:tblCellMar>
        </w:tblPrEx>
        <w:trPr>
          <w:trHeight w:val="959" w:hRule="atLeast"/>
        </w:trPr>
        <w:tc>
          <w:tcPr>
            <w:tcW w:w="1827"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年度绩效指标完成情况</w:t>
            </w:r>
          </w:p>
        </w:tc>
        <w:tc>
          <w:tcPr>
            <w:tcW w:w="1111"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一级</w:t>
            </w:r>
          </w:p>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指标</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二级</w:t>
            </w:r>
          </w:p>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指标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三级</w:t>
            </w:r>
          </w:p>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指标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预期指标值</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实际完成指标值</w:t>
            </w:r>
          </w:p>
        </w:tc>
      </w:tr>
      <w:tr>
        <w:tblPrEx>
          <w:tblCellMar>
            <w:top w:w="0" w:type="dxa"/>
            <w:left w:w="108" w:type="dxa"/>
            <w:bottom w:w="0" w:type="dxa"/>
            <w:right w:w="108" w:type="dxa"/>
          </w:tblCellMar>
        </w:tblPrEx>
        <w:trPr>
          <w:trHeight w:val="628" w:hRule="atLeast"/>
        </w:trPr>
        <w:tc>
          <w:tcPr>
            <w:tcW w:w="1827" w:type="dxa"/>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8"/>
                <w:szCs w:val="28"/>
              </w:rPr>
            </w:pPr>
          </w:p>
        </w:tc>
        <w:tc>
          <w:tcPr>
            <w:tcW w:w="111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完成</w:t>
            </w:r>
          </w:p>
          <w:p>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指标</w:t>
            </w:r>
          </w:p>
        </w:tc>
        <w:tc>
          <w:tcPr>
            <w:tcW w:w="157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数量指标</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eastAsia="zh-CN" w:bidi="ar"/>
              </w:rPr>
              <w:t>人数</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5人</w:t>
            </w:r>
          </w:p>
        </w:tc>
        <w:tc>
          <w:tcPr>
            <w:tcW w:w="172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5人</w:t>
            </w:r>
          </w:p>
        </w:tc>
      </w:tr>
      <w:tr>
        <w:tblPrEx>
          <w:tblCellMar>
            <w:top w:w="0" w:type="dxa"/>
            <w:left w:w="108" w:type="dxa"/>
            <w:bottom w:w="0" w:type="dxa"/>
            <w:right w:w="108" w:type="dxa"/>
          </w:tblCellMar>
        </w:tblPrEx>
        <w:trPr>
          <w:trHeight w:val="628" w:hRule="atLeast"/>
        </w:trPr>
        <w:tc>
          <w:tcPr>
            <w:tcW w:w="1827" w:type="dxa"/>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8"/>
                <w:szCs w:val="28"/>
              </w:rPr>
            </w:pP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_GB2312" w:hAnsi="仿宋_GB2312" w:eastAsia="仿宋_GB2312" w:cs="仿宋_GB2312"/>
                <w:color w:val="000000"/>
                <w:sz w:val="28"/>
                <w:szCs w:val="28"/>
              </w:rPr>
            </w:pPr>
          </w:p>
        </w:tc>
        <w:tc>
          <w:tcPr>
            <w:tcW w:w="157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质量指标</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both"/>
              <w:textAlignment w:val="bottom"/>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保障工作正常开展</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8"/>
                <w:szCs w:val="28"/>
                <w:lang w:val="en-US" w:eastAsia="zh-CN"/>
              </w:rPr>
              <w:t>优良中低差</w:t>
            </w:r>
          </w:p>
        </w:tc>
        <w:tc>
          <w:tcPr>
            <w:tcW w:w="172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优</w:t>
            </w:r>
          </w:p>
        </w:tc>
      </w:tr>
      <w:tr>
        <w:tblPrEx>
          <w:tblCellMar>
            <w:top w:w="0" w:type="dxa"/>
            <w:left w:w="108" w:type="dxa"/>
            <w:bottom w:w="0" w:type="dxa"/>
            <w:right w:w="108" w:type="dxa"/>
          </w:tblCellMar>
        </w:tblPrEx>
        <w:trPr>
          <w:trHeight w:val="833" w:hRule="atLeast"/>
        </w:trPr>
        <w:tc>
          <w:tcPr>
            <w:tcW w:w="1827" w:type="dxa"/>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8"/>
                <w:szCs w:val="28"/>
              </w:rPr>
            </w:pP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_GB2312" w:hAnsi="仿宋_GB2312" w:eastAsia="仿宋_GB2312" w:cs="仿宋_GB2312"/>
                <w:color w:val="000000"/>
                <w:sz w:val="28"/>
                <w:szCs w:val="28"/>
              </w:rPr>
            </w:pPr>
          </w:p>
        </w:tc>
        <w:tc>
          <w:tcPr>
            <w:tcW w:w="157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时效指标</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完成时间</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当年</w:t>
            </w:r>
          </w:p>
        </w:tc>
        <w:tc>
          <w:tcPr>
            <w:tcW w:w="172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当年</w:t>
            </w:r>
          </w:p>
        </w:tc>
      </w:tr>
      <w:tr>
        <w:tblPrEx>
          <w:tblCellMar>
            <w:top w:w="0" w:type="dxa"/>
            <w:left w:w="108" w:type="dxa"/>
            <w:bottom w:w="0" w:type="dxa"/>
            <w:right w:w="108" w:type="dxa"/>
          </w:tblCellMar>
        </w:tblPrEx>
        <w:trPr>
          <w:trHeight w:val="833" w:hRule="atLeast"/>
        </w:trPr>
        <w:tc>
          <w:tcPr>
            <w:tcW w:w="1827" w:type="dxa"/>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8"/>
                <w:szCs w:val="28"/>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bidi="ar"/>
              </w:rPr>
              <w:t>效益</w:t>
            </w:r>
          </w:p>
          <w:p>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指标</w:t>
            </w:r>
          </w:p>
        </w:tc>
        <w:tc>
          <w:tcPr>
            <w:tcW w:w="157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社会效益  指标</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关心关爱职工</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sz w:val="28"/>
                <w:szCs w:val="28"/>
                <w:lang w:val="en-US" w:eastAsia="zh-CN"/>
              </w:rPr>
              <w:t>优良中低差</w:t>
            </w:r>
          </w:p>
        </w:tc>
        <w:tc>
          <w:tcPr>
            <w:tcW w:w="172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sz w:val="28"/>
                <w:szCs w:val="28"/>
                <w:lang w:val="en-US" w:eastAsia="zh-CN"/>
              </w:rPr>
              <w:t>优</w:t>
            </w:r>
          </w:p>
        </w:tc>
      </w:tr>
      <w:tr>
        <w:tblPrEx>
          <w:tblCellMar>
            <w:top w:w="0" w:type="dxa"/>
            <w:left w:w="108" w:type="dxa"/>
            <w:bottom w:w="0" w:type="dxa"/>
            <w:right w:w="108" w:type="dxa"/>
          </w:tblCellMar>
        </w:tblPrEx>
        <w:trPr>
          <w:trHeight w:val="846" w:hRule="atLeast"/>
        </w:trPr>
        <w:tc>
          <w:tcPr>
            <w:tcW w:w="1827"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8"/>
                <w:szCs w:val="28"/>
              </w:rPr>
            </w:pPr>
          </w:p>
        </w:tc>
        <w:tc>
          <w:tcPr>
            <w:tcW w:w="111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bidi="ar"/>
              </w:rPr>
              <w:t>满意</w:t>
            </w:r>
          </w:p>
          <w:p>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度指标</w:t>
            </w:r>
          </w:p>
        </w:tc>
        <w:tc>
          <w:tcPr>
            <w:tcW w:w="157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指标</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满意度情况</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val="en-US" w:eastAsia="zh-CN" w:bidi="ar"/>
              </w:rPr>
            </w:pPr>
            <w:r>
              <w:rPr>
                <w:rFonts w:hint="default" w:ascii="Arial" w:hAnsi="Arial" w:eastAsia="仿宋_GB2312" w:cs="Arial"/>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95%</w:t>
            </w:r>
          </w:p>
        </w:tc>
        <w:tc>
          <w:tcPr>
            <w:tcW w:w="172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val="en-US" w:eastAsia="zh-CN" w:bidi="ar"/>
              </w:rPr>
            </w:pPr>
            <w:r>
              <w:rPr>
                <w:rFonts w:hint="default" w:ascii="Arial" w:hAnsi="Arial" w:eastAsia="仿宋_GB2312" w:cs="Arial"/>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95%</w:t>
            </w:r>
          </w:p>
        </w:tc>
      </w:tr>
      <w:tr>
        <w:tblPrEx>
          <w:tblCellMar>
            <w:top w:w="0" w:type="dxa"/>
            <w:left w:w="108" w:type="dxa"/>
            <w:bottom w:w="0" w:type="dxa"/>
            <w:right w:w="108" w:type="dxa"/>
          </w:tblCellMar>
        </w:tblPrEx>
        <w:trPr>
          <w:trHeight w:val="865" w:hRule="atLeast"/>
        </w:trPr>
        <w:tc>
          <w:tcPr>
            <w:tcW w:w="8960"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工会经费</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trHeight w:val="833" w:hRule="atLeast"/>
        </w:trPr>
        <w:tc>
          <w:tcPr>
            <w:tcW w:w="293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主管部门及代码</w:t>
            </w:r>
          </w:p>
        </w:tc>
        <w:tc>
          <w:tcPr>
            <w:tcW w:w="3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eastAsia="zh-CN"/>
              </w:rPr>
              <w:t>遂宁经济技术开发区总工会</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实施单位</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遂宁经济技术开发区管委会机关工会</w:t>
            </w:r>
          </w:p>
        </w:tc>
      </w:tr>
      <w:tr>
        <w:tblPrEx>
          <w:tblCellMar>
            <w:top w:w="0" w:type="dxa"/>
            <w:left w:w="108" w:type="dxa"/>
            <w:bottom w:w="0" w:type="dxa"/>
            <w:right w:w="108" w:type="dxa"/>
          </w:tblCellMar>
        </w:tblPrEx>
        <w:trPr>
          <w:trHeight w:val="664" w:hRule="atLeast"/>
        </w:trPr>
        <w:tc>
          <w:tcPr>
            <w:tcW w:w="293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项目预算</w:t>
            </w:r>
          </w:p>
          <w:p>
            <w:pPr>
              <w:widowControl/>
              <w:spacing w:line="320" w:lineRule="exact"/>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执行情况</w:t>
            </w:r>
          </w:p>
          <w:p>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（万元）</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 预算数：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30.00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 执行数：</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30.00</w:t>
            </w:r>
          </w:p>
        </w:tc>
      </w:tr>
      <w:tr>
        <w:tblPrEx>
          <w:tblCellMar>
            <w:top w:w="0" w:type="dxa"/>
            <w:left w:w="108" w:type="dxa"/>
            <w:bottom w:w="0" w:type="dxa"/>
            <w:right w:w="108" w:type="dxa"/>
          </w:tblCellMar>
        </w:tblPrEx>
        <w:trPr>
          <w:trHeight w:val="833" w:hRule="atLeast"/>
        </w:trPr>
        <w:tc>
          <w:tcPr>
            <w:tcW w:w="293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宋体" w:cs="宋体"/>
                <w:color w:val="000000"/>
                <w:sz w:val="24"/>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其中：</w:t>
            </w:r>
          </w:p>
          <w:p>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财政拨款</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30.00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其中：</w:t>
            </w:r>
          </w:p>
          <w:p>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财政拨款</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30.00</w:t>
            </w:r>
          </w:p>
        </w:tc>
      </w:tr>
      <w:tr>
        <w:tblPrEx>
          <w:tblCellMar>
            <w:top w:w="0" w:type="dxa"/>
            <w:left w:w="108" w:type="dxa"/>
            <w:bottom w:w="0" w:type="dxa"/>
            <w:right w:w="108" w:type="dxa"/>
          </w:tblCellMar>
        </w:tblPrEx>
        <w:trPr>
          <w:trHeight w:val="450" w:hRule="atLeast"/>
        </w:trPr>
        <w:tc>
          <w:tcPr>
            <w:tcW w:w="293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宋体" w:cs="宋体"/>
                <w:color w:val="000000"/>
                <w:sz w:val="24"/>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其他资金</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其他资金</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0</w:t>
            </w:r>
          </w:p>
        </w:tc>
      </w:tr>
      <w:tr>
        <w:tblPrEx>
          <w:tblCellMar>
            <w:top w:w="0" w:type="dxa"/>
            <w:left w:w="108" w:type="dxa"/>
            <w:bottom w:w="0" w:type="dxa"/>
            <w:right w:w="108" w:type="dxa"/>
          </w:tblCellMar>
        </w:tblPrEx>
        <w:trPr>
          <w:trHeight w:val="423" w:hRule="atLeast"/>
        </w:trPr>
        <w:tc>
          <w:tcPr>
            <w:tcW w:w="182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年度总体目标</w:t>
            </w:r>
          </w:p>
          <w:p>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完成情况</w:t>
            </w:r>
          </w:p>
        </w:tc>
        <w:tc>
          <w:tcPr>
            <w:tcW w:w="41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预期目标</w:t>
            </w:r>
          </w:p>
        </w:tc>
        <w:tc>
          <w:tcPr>
            <w:tcW w:w="293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目标实际完成情况</w:t>
            </w:r>
          </w:p>
        </w:tc>
      </w:tr>
      <w:tr>
        <w:tblPrEx>
          <w:tblCellMar>
            <w:top w:w="0" w:type="dxa"/>
            <w:left w:w="108" w:type="dxa"/>
            <w:bottom w:w="0" w:type="dxa"/>
            <w:right w:w="108" w:type="dxa"/>
          </w:tblCellMar>
        </w:tblPrEx>
        <w:trPr>
          <w:trHeight w:val="712" w:hRule="atLeast"/>
        </w:trPr>
        <w:tc>
          <w:tcPr>
            <w:tcW w:w="18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宋体" w:cs="宋体"/>
                <w:color w:val="000000"/>
                <w:sz w:val="24"/>
              </w:rPr>
            </w:pPr>
          </w:p>
        </w:tc>
        <w:tc>
          <w:tcPr>
            <w:tcW w:w="419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及时组织人员进行体检，达到关心关爱单位职工目的</w:t>
            </w:r>
          </w:p>
        </w:tc>
        <w:tc>
          <w:tcPr>
            <w:tcW w:w="293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default"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2023年完成单位职工体检工作</w:t>
            </w:r>
          </w:p>
        </w:tc>
      </w:tr>
      <w:tr>
        <w:tblPrEx>
          <w:tblCellMar>
            <w:top w:w="0" w:type="dxa"/>
            <w:left w:w="108" w:type="dxa"/>
            <w:bottom w:w="0" w:type="dxa"/>
            <w:right w:w="108" w:type="dxa"/>
          </w:tblCellMar>
        </w:tblPrEx>
        <w:trPr>
          <w:trHeight w:val="959" w:hRule="atLeast"/>
        </w:trPr>
        <w:tc>
          <w:tcPr>
            <w:tcW w:w="1827"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年度绩效指标完成情况</w:t>
            </w:r>
          </w:p>
        </w:tc>
        <w:tc>
          <w:tcPr>
            <w:tcW w:w="1111"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一级</w:t>
            </w:r>
          </w:p>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指标</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二级</w:t>
            </w:r>
          </w:p>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指标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三级</w:t>
            </w:r>
          </w:p>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指标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预期指标值</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实际完成指标值</w:t>
            </w:r>
          </w:p>
        </w:tc>
      </w:tr>
      <w:tr>
        <w:tblPrEx>
          <w:tblCellMar>
            <w:top w:w="0" w:type="dxa"/>
            <w:left w:w="108" w:type="dxa"/>
            <w:bottom w:w="0" w:type="dxa"/>
            <w:right w:w="108" w:type="dxa"/>
          </w:tblCellMar>
        </w:tblPrEx>
        <w:trPr>
          <w:trHeight w:val="628" w:hRule="atLeast"/>
        </w:trPr>
        <w:tc>
          <w:tcPr>
            <w:tcW w:w="1827" w:type="dxa"/>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8"/>
                <w:szCs w:val="28"/>
              </w:rPr>
            </w:pPr>
          </w:p>
        </w:tc>
        <w:tc>
          <w:tcPr>
            <w:tcW w:w="111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eastAsia="zh-CN" w:bidi="ar"/>
              </w:rPr>
              <w:t>产出</w:t>
            </w:r>
            <w:r>
              <w:rPr>
                <w:rFonts w:hint="eastAsia" w:ascii="仿宋_GB2312" w:hAnsi="仿宋_GB2312" w:eastAsia="仿宋_GB2312" w:cs="仿宋_GB2312"/>
                <w:color w:val="000000"/>
                <w:kern w:val="0"/>
                <w:sz w:val="28"/>
                <w:szCs w:val="28"/>
                <w:lang w:bidi="ar"/>
              </w:rPr>
              <w:t>指标</w:t>
            </w:r>
          </w:p>
        </w:tc>
        <w:tc>
          <w:tcPr>
            <w:tcW w:w="157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数量指标</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eastAsia="zh-CN" w:bidi="ar"/>
              </w:rPr>
              <w:t>开展关爱活动次数</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p>
        </w:tc>
        <w:tc>
          <w:tcPr>
            <w:tcW w:w="172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p>
        </w:tc>
      </w:tr>
      <w:tr>
        <w:tblPrEx>
          <w:tblCellMar>
            <w:top w:w="0" w:type="dxa"/>
            <w:left w:w="108" w:type="dxa"/>
            <w:bottom w:w="0" w:type="dxa"/>
            <w:right w:w="108" w:type="dxa"/>
          </w:tblCellMar>
        </w:tblPrEx>
        <w:trPr>
          <w:trHeight w:val="628" w:hRule="atLeast"/>
        </w:trPr>
        <w:tc>
          <w:tcPr>
            <w:tcW w:w="1827" w:type="dxa"/>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8"/>
                <w:szCs w:val="28"/>
              </w:rPr>
            </w:pP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_GB2312" w:hAnsi="仿宋_GB2312" w:eastAsia="仿宋_GB2312" w:cs="仿宋_GB2312"/>
                <w:color w:val="000000"/>
                <w:sz w:val="28"/>
                <w:szCs w:val="28"/>
              </w:rPr>
            </w:pPr>
          </w:p>
        </w:tc>
        <w:tc>
          <w:tcPr>
            <w:tcW w:w="157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质量指标</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both"/>
              <w:textAlignment w:val="bottom"/>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保障工作正常开展</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8"/>
                <w:szCs w:val="28"/>
                <w:lang w:val="en-US" w:eastAsia="zh-CN"/>
              </w:rPr>
              <w:t>优良中低差</w:t>
            </w:r>
          </w:p>
        </w:tc>
        <w:tc>
          <w:tcPr>
            <w:tcW w:w="172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优</w:t>
            </w:r>
          </w:p>
        </w:tc>
      </w:tr>
      <w:tr>
        <w:tblPrEx>
          <w:tblCellMar>
            <w:top w:w="0" w:type="dxa"/>
            <w:left w:w="108" w:type="dxa"/>
            <w:bottom w:w="0" w:type="dxa"/>
            <w:right w:w="108" w:type="dxa"/>
          </w:tblCellMar>
        </w:tblPrEx>
        <w:trPr>
          <w:trHeight w:val="833" w:hRule="atLeast"/>
        </w:trPr>
        <w:tc>
          <w:tcPr>
            <w:tcW w:w="1827" w:type="dxa"/>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8"/>
                <w:szCs w:val="28"/>
              </w:rPr>
            </w:pP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_GB2312" w:hAnsi="仿宋_GB2312" w:eastAsia="仿宋_GB2312" w:cs="仿宋_GB2312"/>
                <w:color w:val="000000"/>
                <w:sz w:val="28"/>
                <w:szCs w:val="28"/>
              </w:rPr>
            </w:pPr>
          </w:p>
        </w:tc>
        <w:tc>
          <w:tcPr>
            <w:tcW w:w="157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时效指标</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完成时间</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当年</w:t>
            </w:r>
          </w:p>
        </w:tc>
        <w:tc>
          <w:tcPr>
            <w:tcW w:w="172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当年</w:t>
            </w:r>
          </w:p>
        </w:tc>
      </w:tr>
      <w:tr>
        <w:tblPrEx>
          <w:tblCellMar>
            <w:top w:w="0" w:type="dxa"/>
            <w:left w:w="108" w:type="dxa"/>
            <w:bottom w:w="0" w:type="dxa"/>
            <w:right w:w="108" w:type="dxa"/>
          </w:tblCellMar>
        </w:tblPrEx>
        <w:trPr>
          <w:trHeight w:val="833" w:hRule="atLeast"/>
        </w:trPr>
        <w:tc>
          <w:tcPr>
            <w:tcW w:w="1827" w:type="dxa"/>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8"/>
                <w:szCs w:val="28"/>
              </w:rPr>
            </w:pPr>
          </w:p>
        </w:tc>
        <w:tc>
          <w:tcPr>
            <w:tcW w:w="1111"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bidi="ar"/>
              </w:rPr>
              <w:t>效益</w:t>
            </w:r>
          </w:p>
          <w:p>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指标</w:t>
            </w:r>
          </w:p>
        </w:tc>
        <w:tc>
          <w:tcPr>
            <w:tcW w:w="157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社会效益  指标</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关心关爱职工</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sz w:val="28"/>
                <w:szCs w:val="28"/>
                <w:lang w:val="en-US" w:eastAsia="zh-CN"/>
              </w:rPr>
              <w:t>优良中低差</w:t>
            </w:r>
          </w:p>
        </w:tc>
        <w:tc>
          <w:tcPr>
            <w:tcW w:w="172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sz w:val="28"/>
                <w:szCs w:val="28"/>
                <w:lang w:val="en-US" w:eastAsia="zh-CN"/>
              </w:rPr>
              <w:t>优</w:t>
            </w:r>
          </w:p>
        </w:tc>
      </w:tr>
      <w:tr>
        <w:tblPrEx>
          <w:tblCellMar>
            <w:top w:w="0" w:type="dxa"/>
            <w:left w:w="108" w:type="dxa"/>
            <w:bottom w:w="0" w:type="dxa"/>
            <w:right w:w="108" w:type="dxa"/>
          </w:tblCellMar>
        </w:tblPrEx>
        <w:trPr>
          <w:trHeight w:val="833" w:hRule="atLeast"/>
        </w:trPr>
        <w:tc>
          <w:tcPr>
            <w:tcW w:w="1827" w:type="dxa"/>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8"/>
                <w:szCs w:val="28"/>
              </w:rPr>
            </w:pPr>
          </w:p>
        </w:tc>
        <w:tc>
          <w:tcPr>
            <w:tcW w:w="1111" w:type="dxa"/>
            <w:vMerge w:val="continue"/>
            <w:tcBorders>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_GB2312" w:hAnsi="仿宋_GB2312" w:eastAsia="仿宋_GB2312" w:cs="仿宋_GB2312"/>
                <w:color w:val="000000"/>
                <w:kern w:val="0"/>
                <w:sz w:val="28"/>
                <w:szCs w:val="28"/>
                <w:lang w:bidi="ar"/>
              </w:rPr>
            </w:pPr>
          </w:p>
        </w:tc>
        <w:tc>
          <w:tcPr>
            <w:tcW w:w="157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可持续发展指标</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发挥作用的期限</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当年</w:t>
            </w:r>
          </w:p>
        </w:tc>
        <w:tc>
          <w:tcPr>
            <w:tcW w:w="172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当年</w:t>
            </w:r>
          </w:p>
        </w:tc>
      </w:tr>
      <w:tr>
        <w:tblPrEx>
          <w:tblCellMar>
            <w:top w:w="0" w:type="dxa"/>
            <w:left w:w="108" w:type="dxa"/>
            <w:bottom w:w="0" w:type="dxa"/>
            <w:right w:w="108" w:type="dxa"/>
          </w:tblCellMar>
        </w:tblPrEx>
        <w:trPr>
          <w:trHeight w:val="846" w:hRule="atLeast"/>
        </w:trPr>
        <w:tc>
          <w:tcPr>
            <w:tcW w:w="1827" w:type="dxa"/>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8"/>
                <w:szCs w:val="28"/>
              </w:rPr>
            </w:pPr>
          </w:p>
        </w:tc>
        <w:tc>
          <w:tcPr>
            <w:tcW w:w="111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bidi="ar"/>
              </w:rPr>
              <w:t>满意</w:t>
            </w:r>
          </w:p>
          <w:p>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度指标</w:t>
            </w:r>
          </w:p>
        </w:tc>
        <w:tc>
          <w:tcPr>
            <w:tcW w:w="157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指标</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满意度情况</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val="en-US" w:eastAsia="zh-CN" w:bidi="ar"/>
              </w:rPr>
            </w:pPr>
            <w:r>
              <w:rPr>
                <w:rFonts w:hint="default" w:ascii="Arial" w:hAnsi="Arial" w:eastAsia="仿宋_GB2312" w:cs="Arial"/>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95%</w:t>
            </w:r>
          </w:p>
        </w:tc>
        <w:tc>
          <w:tcPr>
            <w:tcW w:w="172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val="en-US" w:eastAsia="zh-CN" w:bidi="ar"/>
              </w:rPr>
            </w:pPr>
            <w:r>
              <w:rPr>
                <w:rFonts w:hint="default" w:ascii="Arial" w:hAnsi="Arial" w:eastAsia="仿宋_GB2312" w:cs="Arial"/>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95%</w:t>
            </w:r>
          </w:p>
        </w:tc>
      </w:tr>
      <w:tr>
        <w:tblPrEx>
          <w:tblCellMar>
            <w:top w:w="0" w:type="dxa"/>
            <w:left w:w="108" w:type="dxa"/>
            <w:bottom w:w="0" w:type="dxa"/>
            <w:right w:w="108" w:type="dxa"/>
          </w:tblCellMar>
        </w:tblPrEx>
        <w:trPr>
          <w:trHeight w:val="846" w:hRule="atLeast"/>
        </w:trPr>
        <w:tc>
          <w:tcPr>
            <w:tcW w:w="1827" w:type="dxa"/>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8"/>
                <w:szCs w:val="28"/>
              </w:rPr>
            </w:pPr>
          </w:p>
        </w:tc>
        <w:tc>
          <w:tcPr>
            <w:tcW w:w="1111" w:type="dxa"/>
            <w:vMerge w:val="restart"/>
            <w:tcBorders>
              <w:top w:val="single" w:color="000000" w:sz="4" w:space="0"/>
              <w:left w:val="single" w:color="auto" w:sz="4" w:space="0"/>
              <w:right w:val="single" w:color="000000" w:sz="4" w:space="0"/>
            </w:tcBorders>
            <w:noWrap w:val="0"/>
            <w:vAlign w:val="center"/>
          </w:tcPr>
          <w:p>
            <w:pPr>
              <w:widowControl/>
              <w:tabs>
                <w:tab w:val="left" w:pos="599"/>
              </w:tabs>
              <w:spacing w:line="320" w:lineRule="exact"/>
              <w:jc w:val="center"/>
              <w:textAlignment w:val="bottom"/>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成本指标</w:t>
            </w:r>
          </w:p>
        </w:tc>
        <w:tc>
          <w:tcPr>
            <w:tcW w:w="157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经济成本指标</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开展各种职工文体活动</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default" w:ascii="Arial" w:hAnsi="Arial" w:eastAsia="仿宋_GB2312" w:cs="Arial"/>
                <w:color w:val="000000"/>
                <w:kern w:val="0"/>
                <w:sz w:val="28"/>
                <w:szCs w:val="28"/>
                <w:lang w:val="en-US" w:eastAsia="zh-CN" w:bidi="ar"/>
              </w:rPr>
            </w:pPr>
            <w:r>
              <w:rPr>
                <w:rFonts w:hint="eastAsia" w:ascii="Arial" w:hAnsi="Arial" w:eastAsia="仿宋_GB2312" w:cs="Arial"/>
                <w:color w:val="000000"/>
                <w:kern w:val="0"/>
                <w:sz w:val="28"/>
                <w:szCs w:val="28"/>
                <w:lang w:val="en-US" w:eastAsia="zh-CN" w:bidi="ar"/>
              </w:rPr>
              <w:t>20万</w:t>
            </w:r>
          </w:p>
        </w:tc>
        <w:tc>
          <w:tcPr>
            <w:tcW w:w="172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default" w:ascii="Arial" w:hAnsi="Arial" w:eastAsia="仿宋_GB2312" w:cs="Arial"/>
                <w:color w:val="000000"/>
                <w:kern w:val="0"/>
                <w:sz w:val="28"/>
                <w:szCs w:val="28"/>
                <w:lang w:val="en-US" w:eastAsia="zh-CN" w:bidi="ar"/>
              </w:rPr>
            </w:pPr>
            <w:r>
              <w:rPr>
                <w:rFonts w:hint="eastAsia" w:ascii="Arial" w:hAnsi="Arial" w:eastAsia="仿宋_GB2312" w:cs="Arial"/>
                <w:color w:val="000000"/>
                <w:kern w:val="0"/>
                <w:sz w:val="28"/>
                <w:szCs w:val="28"/>
                <w:lang w:val="en-US" w:eastAsia="zh-CN" w:bidi="ar"/>
              </w:rPr>
              <w:t>20万</w:t>
            </w:r>
          </w:p>
        </w:tc>
      </w:tr>
      <w:tr>
        <w:tblPrEx>
          <w:tblCellMar>
            <w:top w:w="0" w:type="dxa"/>
            <w:left w:w="108" w:type="dxa"/>
            <w:bottom w:w="0" w:type="dxa"/>
            <w:right w:w="108" w:type="dxa"/>
          </w:tblCellMar>
        </w:tblPrEx>
        <w:trPr>
          <w:trHeight w:val="846" w:hRule="atLeast"/>
        </w:trPr>
        <w:tc>
          <w:tcPr>
            <w:tcW w:w="1827" w:type="dxa"/>
            <w:vMerge w:val="continue"/>
            <w:tcBorders>
              <w:left w:val="single" w:color="000000" w:sz="4" w:space="0"/>
              <w:bottom w:val="single" w:color="auto"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8"/>
                <w:szCs w:val="28"/>
              </w:rPr>
            </w:pPr>
          </w:p>
        </w:tc>
        <w:tc>
          <w:tcPr>
            <w:tcW w:w="1111" w:type="dxa"/>
            <w:vMerge w:val="continue"/>
            <w:tcBorders>
              <w:left w:val="single" w:color="auto"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bidi="ar"/>
              </w:rPr>
            </w:pPr>
          </w:p>
        </w:tc>
        <w:tc>
          <w:tcPr>
            <w:tcW w:w="157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经济成本指标</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互助险成本控制范围</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default" w:ascii="Arial" w:hAnsi="Arial" w:eastAsia="仿宋_GB2312" w:cs="Arial"/>
                <w:color w:val="000000"/>
                <w:kern w:val="0"/>
                <w:sz w:val="28"/>
                <w:szCs w:val="28"/>
                <w:lang w:val="en-US" w:eastAsia="zh-CN" w:bidi="ar"/>
              </w:rPr>
            </w:pPr>
            <w:r>
              <w:rPr>
                <w:rFonts w:hint="eastAsia" w:ascii="Arial" w:hAnsi="Arial" w:eastAsia="仿宋_GB2312" w:cs="Arial"/>
                <w:color w:val="000000"/>
                <w:kern w:val="0"/>
                <w:sz w:val="28"/>
                <w:szCs w:val="28"/>
                <w:lang w:val="en-US" w:eastAsia="zh-CN" w:bidi="ar"/>
              </w:rPr>
              <w:t>10万</w:t>
            </w:r>
          </w:p>
        </w:tc>
        <w:tc>
          <w:tcPr>
            <w:tcW w:w="172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default" w:ascii="Arial" w:hAnsi="Arial" w:eastAsia="仿宋_GB2312" w:cs="Arial"/>
                <w:color w:val="000000"/>
                <w:kern w:val="0"/>
                <w:sz w:val="28"/>
                <w:szCs w:val="28"/>
                <w:lang w:val="en-US" w:eastAsia="zh-CN" w:bidi="ar"/>
              </w:rPr>
            </w:pPr>
            <w:r>
              <w:rPr>
                <w:rFonts w:hint="eastAsia" w:ascii="Arial" w:hAnsi="Arial" w:eastAsia="仿宋_GB2312" w:cs="Arial"/>
                <w:color w:val="000000"/>
                <w:kern w:val="0"/>
                <w:sz w:val="28"/>
                <w:szCs w:val="28"/>
                <w:lang w:val="en-US" w:eastAsia="zh-CN" w:bidi="ar"/>
              </w:rPr>
              <w:t>10万</w:t>
            </w: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eastAsia="仿宋_GB2312" w:cs="Times New Roman"/>
          <w:color w:val="000000"/>
          <w:kern w:val="0"/>
          <w:sz w:val="32"/>
          <w:szCs w:val="32"/>
          <w:highlight w:val="none"/>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eastAsia="仿宋_GB2312" w:cs="Times New Roman"/>
          <w:color w:val="000000"/>
          <w:kern w:val="0"/>
          <w:sz w:val="32"/>
          <w:szCs w:val="32"/>
          <w:highlight w:val="none"/>
          <w:shd w:val="clear" w:color="auto" w:fill="FFFFFF"/>
          <w:lang w:val="en-US" w:eastAsia="zh-CN" w:bidi="ar-SA"/>
        </w:rPr>
      </w:pPr>
    </w:p>
    <w:p>
      <w:pPr>
        <w:widowControl/>
        <w:numPr>
          <w:ilvl w:val="0"/>
          <w:numId w:val="0"/>
        </w:numPr>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en-US" w:eastAsia="zh-CN"/>
        </w:rPr>
        <w:t>3.</w:t>
      </w:r>
      <w:r>
        <w:rPr>
          <w:rFonts w:hint="eastAsia" w:ascii="Times New Roman" w:hAnsi="Times New Roman" w:eastAsia="仿宋_GB2312" w:cs="Times New Roman"/>
          <w:color w:val="000000"/>
          <w:kern w:val="0"/>
          <w:sz w:val="32"/>
          <w:szCs w:val="32"/>
          <w:shd w:val="clear" w:color="auto" w:fill="FFFFFF"/>
          <w:lang w:val="zh-CN"/>
        </w:rPr>
        <w:t>支出控制</w:t>
      </w:r>
    </w:p>
    <w:p>
      <w:pPr>
        <w:widowControl w:val="0"/>
        <w:numPr>
          <w:ilvl w:val="0"/>
          <w:numId w:val="0"/>
        </w:numPr>
        <w:ind w:leftChars="0" w:firstLine="631"/>
        <w:jc w:val="both"/>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我会日常公用经费、项目支出中“办公费”年初预算数3.75万元，决算数3.75万元，偏差度为0。</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725"/>
        <w:gridCol w:w="1725"/>
        <w:gridCol w:w="1691"/>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highlight w:val="none"/>
                <w:vertAlign w:val="baseline"/>
                <w:lang w:val="en-US" w:eastAsia="zh-CN" w:bidi="ar-SA"/>
              </w:rPr>
            </w:pPr>
            <w:r>
              <w:rPr>
                <w:rFonts w:hint="eastAsia" w:ascii="Times New Roman" w:hAnsi="Times New Roman" w:eastAsia="仿宋_GB2312" w:cs="Times New Roman"/>
                <w:kern w:val="2"/>
                <w:sz w:val="32"/>
                <w:szCs w:val="24"/>
                <w:highlight w:val="none"/>
                <w:vertAlign w:val="baseline"/>
                <w:lang w:val="en-US" w:eastAsia="zh-CN" w:bidi="ar-SA"/>
              </w:rPr>
              <w:t>科目名称</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highlight w:val="none"/>
                <w:vertAlign w:val="baseline"/>
                <w:lang w:val="en-US" w:eastAsia="zh-CN" w:bidi="ar-SA"/>
              </w:rPr>
            </w:pPr>
            <w:r>
              <w:rPr>
                <w:rFonts w:hint="eastAsia" w:ascii="Times New Roman" w:hAnsi="Times New Roman" w:eastAsia="仿宋_GB2312" w:cs="Times New Roman"/>
                <w:kern w:val="2"/>
                <w:sz w:val="32"/>
                <w:szCs w:val="24"/>
                <w:highlight w:val="none"/>
                <w:vertAlign w:val="baseline"/>
                <w:lang w:val="en-US" w:eastAsia="zh-CN" w:bidi="ar-SA"/>
              </w:rPr>
              <w:t>年初预算数</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highlight w:val="none"/>
                <w:vertAlign w:val="baseline"/>
                <w:lang w:val="en-US" w:eastAsia="zh-CN" w:bidi="ar-SA"/>
              </w:rPr>
            </w:pPr>
            <w:r>
              <w:rPr>
                <w:rFonts w:hint="eastAsia" w:ascii="Times New Roman" w:hAnsi="Times New Roman" w:eastAsia="仿宋_GB2312" w:cs="Times New Roman"/>
                <w:kern w:val="2"/>
                <w:sz w:val="32"/>
                <w:szCs w:val="24"/>
                <w:highlight w:val="none"/>
                <w:vertAlign w:val="baseline"/>
                <w:lang w:val="en-US" w:eastAsia="zh-CN" w:bidi="ar-SA"/>
              </w:rPr>
              <w:t>决算数</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highlight w:val="none"/>
                <w:vertAlign w:val="baseline"/>
                <w:lang w:val="en-US" w:eastAsia="zh-CN" w:bidi="ar-SA"/>
              </w:rPr>
            </w:pPr>
            <w:r>
              <w:rPr>
                <w:rFonts w:hint="eastAsia" w:ascii="Times New Roman" w:hAnsi="Times New Roman" w:eastAsia="仿宋_GB2312" w:cs="Times New Roman"/>
                <w:kern w:val="2"/>
                <w:sz w:val="32"/>
                <w:szCs w:val="24"/>
                <w:highlight w:val="none"/>
                <w:vertAlign w:val="baseline"/>
                <w:lang w:val="en-US" w:eastAsia="zh-CN" w:bidi="ar-SA"/>
              </w:rPr>
              <w:t>偏差程度</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highlight w:val="none"/>
                <w:vertAlign w:val="baseline"/>
                <w:lang w:val="en-US" w:eastAsia="zh-CN" w:bidi="ar-SA"/>
              </w:rPr>
            </w:pPr>
            <w:r>
              <w:rPr>
                <w:rFonts w:hint="eastAsia" w:ascii="Times New Roman" w:hAnsi="Times New Roman" w:eastAsia="仿宋_GB2312" w:cs="Times New Roman"/>
                <w:kern w:val="2"/>
                <w:sz w:val="32"/>
                <w:szCs w:val="24"/>
                <w:highlight w:val="none"/>
                <w:vertAlign w:val="baseline"/>
                <w:lang w:val="en-US" w:eastAsia="zh-CN" w:bidi="ar-SA"/>
              </w:rPr>
              <w:t>偏差原因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highlight w:val="none"/>
                <w:vertAlign w:val="baseline"/>
                <w:lang w:val="en-US" w:eastAsia="zh-CN" w:bidi="ar-SA"/>
              </w:rPr>
            </w:pPr>
            <w:r>
              <w:rPr>
                <w:rFonts w:hint="eastAsia" w:ascii="Times New Roman" w:hAnsi="Times New Roman" w:eastAsia="仿宋_GB2312" w:cs="Times New Roman"/>
                <w:kern w:val="2"/>
                <w:sz w:val="32"/>
                <w:szCs w:val="24"/>
                <w:highlight w:val="none"/>
                <w:vertAlign w:val="baseline"/>
                <w:lang w:val="en-US" w:eastAsia="zh-CN" w:bidi="ar-SA"/>
              </w:rPr>
              <w:t>办公费</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highlight w:val="none"/>
                <w:vertAlign w:val="baseline"/>
                <w:lang w:val="en-US" w:eastAsia="zh-CN" w:bidi="ar-SA"/>
              </w:rPr>
            </w:pPr>
            <w:r>
              <w:rPr>
                <w:rFonts w:hint="eastAsia" w:ascii="Times New Roman" w:hAnsi="Times New Roman" w:eastAsia="仿宋_GB2312" w:cs="Times New Roman"/>
                <w:kern w:val="2"/>
                <w:sz w:val="32"/>
                <w:szCs w:val="24"/>
                <w:highlight w:val="none"/>
                <w:vertAlign w:val="baseline"/>
                <w:lang w:val="en-US" w:eastAsia="zh-CN" w:bidi="ar-SA"/>
              </w:rPr>
              <w:t>3.75</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highlight w:val="none"/>
                <w:vertAlign w:val="baseline"/>
                <w:lang w:val="en-US" w:eastAsia="zh-CN" w:bidi="ar-SA"/>
              </w:rPr>
            </w:pPr>
            <w:r>
              <w:rPr>
                <w:rFonts w:hint="eastAsia" w:ascii="Times New Roman" w:hAnsi="Times New Roman" w:eastAsia="仿宋_GB2312" w:cs="Times New Roman"/>
                <w:kern w:val="2"/>
                <w:sz w:val="32"/>
                <w:szCs w:val="24"/>
                <w:highlight w:val="none"/>
                <w:vertAlign w:val="baseline"/>
                <w:lang w:val="en-US" w:eastAsia="zh-CN" w:bidi="ar-SA"/>
              </w:rPr>
              <w:t>3.75</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highlight w:val="none"/>
                <w:vertAlign w:val="baseline"/>
                <w:lang w:val="en-US" w:eastAsia="zh-CN" w:bidi="ar-SA"/>
              </w:rPr>
            </w:pPr>
            <w:r>
              <w:rPr>
                <w:rFonts w:hint="eastAsia" w:ascii="Times New Roman" w:hAnsi="Times New Roman" w:eastAsia="仿宋_GB2312" w:cs="Times New Roman"/>
                <w:kern w:val="2"/>
                <w:sz w:val="32"/>
                <w:szCs w:val="24"/>
                <w:highlight w:val="none"/>
                <w:vertAlign w:val="baseline"/>
                <w:lang w:val="en-US" w:eastAsia="zh-CN" w:bidi="ar-SA"/>
              </w:rPr>
              <w:t>0</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highlight w:val="none"/>
                <w:vertAlign w:val="baseline"/>
                <w:lang w:val="en-US" w:eastAsia="zh-CN" w:bidi="ar-SA"/>
              </w:rPr>
            </w:pPr>
          </w:p>
        </w:tc>
      </w:tr>
    </w:tbl>
    <w:p>
      <w:pPr>
        <w:widowControl w:val="0"/>
        <w:numPr>
          <w:ilvl w:val="0"/>
          <w:numId w:val="0"/>
        </w:numPr>
        <w:jc w:val="both"/>
        <w:rPr>
          <w:rFonts w:hint="default" w:ascii="Times New Roman" w:hAnsi="Times New Roman" w:eastAsia="仿宋_GB2312" w:cs="Times New Roman"/>
          <w:kern w:val="2"/>
          <w:sz w:val="32"/>
          <w:szCs w:val="24"/>
          <w:highlight w:val="none"/>
          <w:lang w:val="en-US" w:eastAsia="zh-CN" w:bidi="ar-SA"/>
        </w:rPr>
      </w:pPr>
    </w:p>
    <w:p>
      <w:pPr>
        <w:widowControl w:val="0"/>
        <w:numPr>
          <w:ilvl w:val="0"/>
          <w:numId w:val="0"/>
        </w:numPr>
        <w:jc w:val="both"/>
        <w:rPr>
          <w:rFonts w:hint="default" w:ascii="Times New Roman" w:hAnsi="Times New Roman" w:eastAsia="仿宋_GB2312" w:cs="Times New Roman"/>
          <w:kern w:val="2"/>
          <w:sz w:val="32"/>
          <w:szCs w:val="24"/>
          <w:highlight w:val="none"/>
          <w:lang w:val="en-US" w:eastAsia="zh-CN" w:bidi="ar-SA"/>
        </w:rPr>
      </w:pPr>
    </w:p>
    <w:p>
      <w:pPr>
        <w:widowControl/>
        <w:numPr>
          <w:ilvl w:val="0"/>
          <w:numId w:val="0"/>
        </w:numPr>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en-US" w:eastAsia="zh-CN"/>
        </w:rPr>
        <w:t>4.</w:t>
      </w:r>
      <w:r>
        <w:rPr>
          <w:rFonts w:hint="eastAsia" w:ascii="Times New Roman" w:hAnsi="Times New Roman" w:eastAsia="仿宋_GB2312" w:cs="Times New Roman"/>
          <w:color w:val="000000"/>
          <w:kern w:val="0"/>
          <w:sz w:val="32"/>
          <w:szCs w:val="32"/>
          <w:shd w:val="clear" w:color="auto" w:fill="FFFFFF"/>
          <w:lang w:val="zh-CN"/>
        </w:rPr>
        <w:t>及时处置</w:t>
      </w:r>
    </w:p>
    <w:p>
      <w:pPr>
        <w:widowControl w:val="0"/>
        <w:numPr>
          <w:ilvl w:val="0"/>
          <w:numId w:val="0"/>
        </w:numPr>
        <w:ind w:leftChars="0" w:firstLine="631"/>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2023年我会绩效监控调整取消额与结余注销额均为零。</w:t>
      </w:r>
    </w:p>
    <w:p>
      <w:pPr>
        <w:widowControl/>
        <w:numPr>
          <w:ilvl w:val="0"/>
          <w:numId w:val="0"/>
        </w:numPr>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en-US" w:eastAsia="zh-CN"/>
        </w:rPr>
        <w:t>5.</w:t>
      </w:r>
      <w:r>
        <w:rPr>
          <w:rFonts w:hint="eastAsia" w:ascii="Times New Roman" w:hAnsi="Times New Roman" w:eastAsia="仿宋_GB2312" w:cs="Times New Roman"/>
          <w:color w:val="000000"/>
          <w:kern w:val="0"/>
          <w:sz w:val="32"/>
          <w:szCs w:val="32"/>
          <w:shd w:val="clear" w:color="auto" w:fill="FFFFFF"/>
          <w:lang w:val="zh-CN"/>
        </w:rPr>
        <w:t>执行进度</w:t>
      </w:r>
    </w:p>
    <w:p>
      <w:pPr>
        <w:widowControl w:val="0"/>
        <w:numPr>
          <w:ilvl w:val="0"/>
          <w:numId w:val="0"/>
        </w:numPr>
        <w:ind w:leftChars="0" w:firstLine="631"/>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zh-CN" w:eastAsia="zh-CN" w:bidi="ar-SA"/>
        </w:rPr>
        <w:t>我会202</w:t>
      </w:r>
      <w:r>
        <w:rPr>
          <w:rFonts w:hint="eastAsia" w:ascii="Times New Roman" w:hAnsi="Times New Roman" w:eastAsia="仿宋_GB2312" w:cs="Times New Roman"/>
          <w:kern w:val="2"/>
          <w:sz w:val="32"/>
          <w:szCs w:val="24"/>
          <w:lang w:val="en-US" w:eastAsia="zh-CN" w:bidi="ar-SA"/>
        </w:rPr>
        <w:t>3</w:t>
      </w:r>
      <w:r>
        <w:rPr>
          <w:rFonts w:hint="eastAsia" w:ascii="Times New Roman" w:hAnsi="Times New Roman" w:eastAsia="仿宋_GB2312" w:cs="Times New Roman"/>
          <w:kern w:val="2"/>
          <w:sz w:val="32"/>
          <w:szCs w:val="24"/>
          <w:lang w:val="zh-CN" w:eastAsia="zh-CN" w:bidi="ar-SA"/>
        </w:rPr>
        <w:t>年按要求严格预算执行管理，督促各部室在合规使用资金的前提下执行预算，在</w:t>
      </w:r>
      <w:r>
        <w:rPr>
          <w:rFonts w:hint="eastAsia" w:ascii="Times New Roman" w:hAnsi="Times New Roman" w:eastAsia="仿宋_GB2312" w:cs="Times New Roman"/>
          <w:kern w:val="2"/>
          <w:sz w:val="32"/>
          <w:szCs w:val="24"/>
          <w:lang w:val="en-US" w:eastAsia="zh-CN" w:bidi="ar-SA"/>
        </w:rPr>
        <w:t>6月、9月、11月的部门预算执行进度分别为11.6%、17.5%、35.6%。</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1739"/>
        <w:gridCol w:w="1739"/>
        <w:gridCol w:w="1739"/>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支出进度</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目标值</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实际值</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差异率</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6月</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40%</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11.6%</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71%</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15"/>
                <w:szCs w:val="11"/>
                <w:vertAlign w:val="baseline"/>
                <w:lang w:val="en-US" w:eastAsia="zh-CN" w:bidi="ar-SA"/>
              </w:rPr>
              <w:t>30万工会经费未下达使用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9月</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67.5%</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17.5%</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74%</w:t>
            </w:r>
          </w:p>
        </w:tc>
        <w:tc>
          <w:tcPr>
            <w:tcW w:w="1880" w:type="dxa"/>
            <w:noWrap w:val="0"/>
            <w:vAlign w:val="top"/>
          </w:tcPr>
          <w:p>
            <w:pPr>
              <w:widowControl w:val="0"/>
              <w:numPr>
                <w:ilvl w:val="0"/>
                <w:numId w:val="0"/>
              </w:numPr>
              <w:ind w:left="0" w:leftChars="0" w:firstLine="0" w:firstLineChars="0"/>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15"/>
                <w:szCs w:val="11"/>
                <w:vertAlign w:val="baseline"/>
                <w:lang w:val="en-US" w:eastAsia="zh-CN" w:bidi="ar-SA"/>
              </w:rPr>
              <w:t>30万工会经费未下达使用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11月</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82.5%</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35.6%</w:t>
            </w:r>
          </w:p>
        </w:tc>
        <w:tc>
          <w:tcPr>
            <w:tcW w:w="1880"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56.8%</w:t>
            </w:r>
          </w:p>
        </w:tc>
        <w:tc>
          <w:tcPr>
            <w:tcW w:w="1880" w:type="dxa"/>
            <w:noWrap w:val="0"/>
            <w:vAlign w:val="top"/>
          </w:tcPr>
          <w:p>
            <w:pPr>
              <w:widowControl w:val="0"/>
              <w:numPr>
                <w:ilvl w:val="0"/>
                <w:numId w:val="0"/>
              </w:numPr>
              <w:ind w:left="0" w:leftChars="0" w:firstLine="0" w:firstLineChars="0"/>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15"/>
                <w:szCs w:val="11"/>
                <w:vertAlign w:val="baseline"/>
                <w:lang w:val="en-US" w:eastAsia="zh-CN" w:bidi="ar-SA"/>
              </w:rPr>
              <w:t>30万工会经费未下达使用</w:t>
            </w:r>
          </w:p>
        </w:tc>
      </w:tr>
    </w:tbl>
    <w:p>
      <w:pPr>
        <w:widowControl w:val="0"/>
        <w:numPr>
          <w:ilvl w:val="0"/>
          <w:numId w:val="0"/>
        </w:numPr>
        <w:ind w:leftChars="0" w:firstLine="631"/>
        <w:jc w:val="both"/>
        <w:rPr>
          <w:rFonts w:hint="default" w:ascii="Times New Roman" w:hAnsi="Times New Roman" w:eastAsia="仿宋_GB2312" w:cs="Times New Roman"/>
          <w:kern w:val="2"/>
          <w:sz w:val="32"/>
          <w:szCs w:val="24"/>
          <w:lang w:val="en-US" w:eastAsia="zh-CN" w:bidi="ar-SA"/>
        </w:rPr>
      </w:pPr>
    </w:p>
    <w:p>
      <w:pPr>
        <w:widowControl/>
        <w:numPr>
          <w:ilvl w:val="0"/>
          <w:numId w:val="0"/>
        </w:numPr>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en-US" w:eastAsia="zh-CN"/>
        </w:rPr>
        <w:t>6.</w:t>
      </w:r>
      <w:r>
        <w:rPr>
          <w:rFonts w:hint="eastAsia" w:ascii="Times New Roman" w:hAnsi="Times New Roman" w:eastAsia="仿宋_GB2312" w:cs="Times New Roman"/>
          <w:color w:val="000000"/>
          <w:kern w:val="0"/>
          <w:sz w:val="32"/>
          <w:szCs w:val="32"/>
          <w:shd w:val="clear" w:color="auto" w:fill="FFFFFF"/>
          <w:lang w:val="zh-CN"/>
        </w:rPr>
        <w:t>预算完成</w:t>
      </w:r>
    </w:p>
    <w:p>
      <w:pPr>
        <w:widowControl/>
        <w:numPr>
          <w:ilvl w:val="0"/>
          <w:numId w:val="0"/>
        </w:numPr>
        <w:adjustRightInd w:val="0"/>
        <w:snapToGrid w:val="0"/>
        <w:spacing w:line="620" w:lineRule="exact"/>
        <w:ind w:firstLine="640" w:firstLineChars="200"/>
        <w:contextualSpacing/>
        <w:jc w:val="left"/>
        <w:rPr>
          <w:rFonts w:hint="eastAsia" w:ascii="Times New Roman" w:hAnsi="Times New Roman" w:eastAsia="仿宋_GB2312" w:cs="Times New Roman"/>
          <w:color w:val="auto"/>
          <w:kern w:val="0"/>
          <w:sz w:val="32"/>
          <w:szCs w:val="32"/>
          <w:shd w:val="clear" w:color="auto" w:fill="FFFFFF"/>
          <w:lang w:val="zh-CN"/>
        </w:rPr>
      </w:pPr>
      <w:r>
        <w:rPr>
          <w:rFonts w:hint="eastAsia" w:ascii="Times New Roman" w:hAnsi="Times New Roman" w:eastAsia="仿宋_GB2312" w:cs="Times New Roman"/>
          <w:color w:val="auto"/>
          <w:kern w:val="0"/>
          <w:sz w:val="32"/>
          <w:szCs w:val="32"/>
          <w:shd w:val="clear" w:color="auto" w:fill="FFFFFF"/>
          <w:lang w:val="zh-CN"/>
        </w:rPr>
        <w:t>截至</w:t>
      </w:r>
      <w:r>
        <w:rPr>
          <w:rFonts w:hint="eastAsia" w:ascii="Times New Roman" w:hAnsi="Times New Roman" w:eastAsia="仿宋_GB2312" w:cs="Times New Roman"/>
          <w:color w:val="auto"/>
          <w:kern w:val="0"/>
          <w:sz w:val="32"/>
          <w:szCs w:val="32"/>
          <w:shd w:val="clear" w:color="auto" w:fill="FFFFFF"/>
          <w:lang w:val="en-US" w:eastAsia="zh-CN"/>
        </w:rPr>
        <w:t>2023年底，我会部门预算项目预算金额30.97万元，实际支付30.97万元，</w:t>
      </w:r>
      <w:r>
        <w:rPr>
          <w:rFonts w:hint="eastAsia" w:ascii="Times New Roman" w:hAnsi="Times New Roman" w:eastAsia="仿宋_GB2312" w:cs="Times New Roman"/>
          <w:color w:val="auto"/>
          <w:kern w:val="0"/>
          <w:sz w:val="32"/>
          <w:szCs w:val="32"/>
          <w:shd w:val="clear" w:color="auto" w:fill="FFFFFF"/>
          <w:lang w:val="zh-CN"/>
        </w:rPr>
        <w:t>预算执行率为</w:t>
      </w:r>
      <w:r>
        <w:rPr>
          <w:rFonts w:hint="eastAsia" w:ascii="Times New Roman" w:hAnsi="Times New Roman" w:eastAsia="仿宋_GB2312" w:cs="Times New Roman"/>
          <w:color w:val="auto"/>
          <w:kern w:val="0"/>
          <w:sz w:val="32"/>
          <w:szCs w:val="32"/>
          <w:shd w:val="clear" w:color="auto" w:fill="FFFFFF"/>
          <w:lang w:val="en-US" w:eastAsia="zh-CN"/>
        </w:rPr>
        <w:t>100.00</w:t>
      </w:r>
      <w:r>
        <w:rPr>
          <w:rFonts w:hint="eastAsia" w:ascii="Times New Roman" w:hAnsi="Times New Roman" w:eastAsia="仿宋_GB2312" w:cs="Times New Roman"/>
          <w:color w:val="auto"/>
          <w:kern w:val="0"/>
          <w:sz w:val="32"/>
          <w:szCs w:val="32"/>
          <w:shd w:val="clear" w:color="auto" w:fill="FFFFFF"/>
          <w:lang w:val="zh-CN"/>
        </w:rPr>
        <w:t>%。</w:t>
      </w:r>
    </w:p>
    <w:p>
      <w:pPr>
        <w:widowControl/>
        <w:numPr>
          <w:ilvl w:val="0"/>
          <w:numId w:val="0"/>
        </w:numPr>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en-US" w:eastAsia="zh-CN"/>
        </w:rPr>
        <w:t>7.</w:t>
      </w:r>
      <w:r>
        <w:rPr>
          <w:rFonts w:hint="eastAsia" w:ascii="Times New Roman" w:hAnsi="Times New Roman" w:eastAsia="仿宋_GB2312" w:cs="Times New Roman"/>
          <w:color w:val="000000"/>
          <w:kern w:val="0"/>
          <w:sz w:val="32"/>
          <w:szCs w:val="32"/>
          <w:shd w:val="clear" w:color="auto" w:fill="FFFFFF"/>
          <w:lang w:val="zh-CN"/>
        </w:rPr>
        <w:t>资金结余率</w:t>
      </w:r>
    </w:p>
    <w:p>
      <w:pPr>
        <w:widowControl/>
        <w:numPr>
          <w:ilvl w:val="0"/>
          <w:numId w:val="0"/>
        </w:numPr>
        <w:adjustRightInd w:val="0"/>
        <w:snapToGrid w:val="0"/>
        <w:spacing w:line="620" w:lineRule="exact"/>
        <w:ind w:firstLine="640" w:firstLineChars="200"/>
        <w:contextualSpacing/>
        <w:jc w:val="left"/>
        <w:rPr>
          <w:rFonts w:hint="eastAsia" w:ascii="Times New Roman" w:hAnsi="Times New Roman" w:eastAsia="仿宋_GB2312" w:cs="Times New Roman"/>
          <w:color w:val="auto"/>
          <w:kern w:val="0"/>
          <w:sz w:val="32"/>
          <w:szCs w:val="32"/>
          <w:shd w:val="clear" w:color="auto" w:fill="FFFFFF"/>
          <w:lang w:val="zh-CN"/>
        </w:rPr>
      </w:pPr>
      <w:r>
        <w:rPr>
          <w:rFonts w:hint="eastAsia" w:ascii="Times New Roman" w:hAnsi="Times New Roman" w:eastAsia="仿宋_GB2312" w:cs="Times New Roman"/>
          <w:color w:val="auto"/>
          <w:kern w:val="0"/>
          <w:sz w:val="32"/>
          <w:szCs w:val="32"/>
          <w:shd w:val="clear" w:color="auto" w:fill="FFFFFF"/>
          <w:lang w:val="zh-CN"/>
        </w:rPr>
        <w:t>截至</w:t>
      </w:r>
      <w:r>
        <w:rPr>
          <w:rFonts w:hint="eastAsia" w:ascii="Times New Roman" w:hAnsi="Times New Roman" w:eastAsia="仿宋_GB2312" w:cs="Times New Roman"/>
          <w:color w:val="auto"/>
          <w:kern w:val="0"/>
          <w:sz w:val="32"/>
          <w:szCs w:val="32"/>
          <w:shd w:val="clear" w:color="auto" w:fill="FFFFFF"/>
          <w:lang w:val="en-US" w:eastAsia="zh-CN"/>
        </w:rPr>
        <w:t>2023年底，我会部门预算项目预算金额30.97万元，实际支付30.97万元，</w:t>
      </w:r>
      <w:r>
        <w:rPr>
          <w:rFonts w:hint="eastAsia" w:ascii="Times New Roman" w:hAnsi="Times New Roman" w:eastAsia="仿宋_GB2312" w:cs="Times New Roman"/>
          <w:color w:val="auto"/>
          <w:kern w:val="0"/>
          <w:sz w:val="32"/>
          <w:szCs w:val="32"/>
          <w:shd w:val="clear" w:color="auto" w:fill="FFFFFF"/>
          <w:lang w:val="zh-CN"/>
        </w:rPr>
        <w:t>资金结余率为</w:t>
      </w:r>
      <w:r>
        <w:rPr>
          <w:rFonts w:hint="eastAsia" w:ascii="Times New Roman" w:hAnsi="Times New Roman" w:eastAsia="仿宋_GB2312" w:cs="Times New Roman"/>
          <w:color w:val="auto"/>
          <w:kern w:val="0"/>
          <w:sz w:val="32"/>
          <w:szCs w:val="32"/>
          <w:shd w:val="clear" w:color="auto" w:fill="FFFFFF"/>
          <w:lang w:val="en-US" w:eastAsia="zh-CN"/>
        </w:rPr>
        <w:t>0</w:t>
      </w:r>
      <w:r>
        <w:rPr>
          <w:rFonts w:hint="eastAsia" w:ascii="Times New Roman" w:hAnsi="Times New Roman" w:eastAsia="仿宋_GB2312" w:cs="Times New Roman"/>
          <w:color w:val="auto"/>
          <w:kern w:val="0"/>
          <w:sz w:val="32"/>
          <w:szCs w:val="32"/>
          <w:shd w:val="clear" w:color="auto" w:fill="FFFFFF"/>
          <w:lang w:val="zh-CN"/>
        </w:rPr>
        <w:t>。</w:t>
      </w:r>
    </w:p>
    <w:p>
      <w:pPr>
        <w:widowControl/>
        <w:numPr>
          <w:ilvl w:val="0"/>
          <w:numId w:val="0"/>
        </w:numPr>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en-US" w:eastAsia="zh-CN"/>
        </w:rPr>
        <w:t>8.</w:t>
      </w:r>
      <w:r>
        <w:rPr>
          <w:rFonts w:hint="eastAsia" w:ascii="Times New Roman" w:hAnsi="Times New Roman" w:eastAsia="仿宋_GB2312" w:cs="Times New Roman"/>
          <w:color w:val="000000"/>
          <w:kern w:val="0"/>
          <w:sz w:val="32"/>
          <w:szCs w:val="32"/>
          <w:shd w:val="clear" w:color="auto" w:fill="FFFFFF"/>
          <w:lang w:val="zh-CN"/>
        </w:rPr>
        <w:t>违规记录情况</w:t>
      </w:r>
    </w:p>
    <w:p>
      <w:pPr>
        <w:widowControl/>
        <w:numPr>
          <w:ilvl w:val="0"/>
          <w:numId w:val="0"/>
        </w:numPr>
        <w:adjustRightInd w:val="0"/>
        <w:snapToGrid w:val="0"/>
        <w:spacing w:line="620" w:lineRule="exact"/>
        <w:ind w:firstLine="640" w:firstLineChars="200"/>
        <w:contextualSpacing/>
        <w:jc w:val="left"/>
        <w:rPr>
          <w:rFonts w:hint="eastAsia" w:ascii="Times New Roman" w:hAnsi="Times New Roman" w:eastAsia="仿宋_GB2312" w:cs="Times New Roman"/>
          <w:sz w:val="32"/>
          <w:lang w:val="zh-CN"/>
        </w:rPr>
      </w:pPr>
      <w:r>
        <w:rPr>
          <w:rFonts w:hint="eastAsia" w:ascii="Times New Roman" w:hAnsi="Times New Roman" w:eastAsia="仿宋_GB2312" w:cs="Times New Roman"/>
          <w:color w:val="auto"/>
          <w:kern w:val="0"/>
          <w:sz w:val="32"/>
          <w:szCs w:val="32"/>
          <w:shd w:val="clear" w:color="auto" w:fill="FFFFFF"/>
          <w:lang w:val="zh-CN"/>
        </w:rPr>
        <w:t>根据</w:t>
      </w:r>
      <w:r>
        <w:rPr>
          <w:rFonts w:hint="eastAsia" w:ascii="Times New Roman" w:hAnsi="Times New Roman" w:eastAsia="仿宋_GB2312" w:cs="Times New Roman"/>
          <w:color w:val="auto"/>
          <w:kern w:val="0"/>
          <w:sz w:val="32"/>
          <w:szCs w:val="32"/>
          <w:shd w:val="clear" w:color="auto" w:fill="FFFFFF"/>
          <w:lang w:val="en-US" w:eastAsia="zh-CN"/>
        </w:rPr>
        <w:t>2023年度审计监督、财政检查结果，我会未出现部门预算管理方面违纪违规问题。</w:t>
      </w:r>
    </w:p>
    <w:p>
      <w:pPr>
        <w:widowControl/>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（二）结果应用情况</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1.内部应用。202</w:t>
      </w:r>
      <w:r>
        <w:rPr>
          <w:rFonts w:hint="eastAsia" w:ascii="Times New Roman" w:hAnsi="Times New Roman" w:eastAsia="仿宋_GB2312" w:cs="Times New Roman"/>
          <w:color w:val="000000"/>
          <w:kern w:val="0"/>
          <w:sz w:val="32"/>
          <w:szCs w:val="32"/>
          <w:shd w:val="clear" w:color="auto" w:fill="FFFFFF"/>
          <w:lang w:val="en-US" w:eastAsia="zh-CN"/>
        </w:rPr>
        <w:t>3</w:t>
      </w:r>
      <w:r>
        <w:rPr>
          <w:rFonts w:hint="eastAsia" w:ascii="Times New Roman" w:hAnsi="Times New Roman" w:eastAsia="仿宋_GB2312" w:cs="Times New Roman"/>
          <w:color w:val="000000"/>
          <w:kern w:val="0"/>
          <w:sz w:val="32"/>
          <w:szCs w:val="32"/>
          <w:shd w:val="clear" w:color="auto" w:fill="FFFFFF"/>
          <w:lang w:val="zh-CN"/>
        </w:rPr>
        <w:t>年，我会将内部绩效结果与预算纳入考核体系。</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en-US" w:eastAsia="zh-CN"/>
        </w:rPr>
        <w:t>2</w:t>
      </w:r>
      <w:r>
        <w:rPr>
          <w:rFonts w:hint="eastAsia" w:ascii="Times New Roman" w:hAnsi="Times New Roman" w:eastAsia="仿宋_GB2312" w:cs="Times New Roman"/>
          <w:color w:val="000000"/>
          <w:kern w:val="0"/>
          <w:sz w:val="32"/>
          <w:szCs w:val="32"/>
          <w:shd w:val="clear" w:color="auto" w:fill="FFFFFF"/>
          <w:lang w:val="zh-CN"/>
        </w:rPr>
        <w:t>.信息公开。202</w:t>
      </w:r>
      <w:r>
        <w:rPr>
          <w:rFonts w:hint="eastAsia" w:ascii="Times New Roman" w:hAnsi="Times New Roman" w:eastAsia="仿宋_GB2312" w:cs="Times New Roman"/>
          <w:color w:val="000000"/>
          <w:kern w:val="0"/>
          <w:sz w:val="32"/>
          <w:szCs w:val="32"/>
          <w:shd w:val="clear" w:color="auto" w:fill="FFFFFF"/>
          <w:lang w:val="en-US" w:eastAsia="zh-CN"/>
        </w:rPr>
        <w:t>3</w:t>
      </w:r>
      <w:r>
        <w:rPr>
          <w:rFonts w:hint="eastAsia" w:ascii="Times New Roman" w:hAnsi="Times New Roman" w:eastAsia="仿宋_GB2312" w:cs="Times New Roman"/>
          <w:color w:val="000000"/>
          <w:kern w:val="0"/>
          <w:sz w:val="32"/>
          <w:szCs w:val="32"/>
          <w:shd w:val="clear" w:color="auto" w:fill="FFFFFF"/>
          <w:lang w:val="zh-CN"/>
        </w:rPr>
        <w:t>年，我会均按照统一时间、统一口径、统一格式在政府门户网站上向社会公开了202</w:t>
      </w:r>
      <w:r>
        <w:rPr>
          <w:rFonts w:hint="eastAsia" w:ascii="Times New Roman" w:hAnsi="Times New Roman" w:eastAsia="仿宋_GB2312" w:cs="Times New Roman"/>
          <w:color w:val="000000"/>
          <w:kern w:val="0"/>
          <w:sz w:val="32"/>
          <w:szCs w:val="32"/>
          <w:shd w:val="clear" w:color="auto" w:fill="FFFFFF"/>
          <w:lang w:val="en-US" w:eastAsia="zh-CN"/>
        </w:rPr>
        <w:t>3</w:t>
      </w:r>
      <w:r>
        <w:rPr>
          <w:rFonts w:hint="eastAsia" w:ascii="Times New Roman" w:hAnsi="Times New Roman" w:eastAsia="仿宋_GB2312" w:cs="Times New Roman"/>
          <w:color w:val="000000"/>
          <w:kern w:val="0"/>
          <w:sz w:val="32"/>
          <w:szCs w:val="32"/>
          <w:shd w:val="clear" w:color="auto" w:fill="FFFFFF"/>
          <w:lang w:val="zh-CN"/>
        </w:rPr>
        <w:t>年部门预算及财政资金安排的“三公”经费预算、部门决算及财政资金安排的“三公”经费决算、机关运行经费的安排使用情况、部门整体支出绩效自评报告及其他按要求应公开的绩效信息。</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en-US" w:eastAsia="zh-CN"/>
        </w:rPr>
        <w:t>3</w:t>
      </w:r>
      <w:r>
        <w:rPr>
          <w:rFonts w:hint="eastAsia" w:ascii="Times New Roman" w:hAnsi="Times New Roman" w:eastAsia="仿宋_GB2312" w:cs="Times New Roman"/>
          <w:color w:val="000000"/>
          <w:kern w:val="0"/>
          <w:sz w:val="32"/>
          <w:szCs w:val="32"/>
          <w:shd w:val="clear" w:color="auto" w:fill="FFFFFF"/>
          <w:lang w:val="zh-CN"/>
        </w:rPr>
        <w:t>.整改反馈。我会积极应用绩效结果，将绩效管理结果与预算安排进行挂钩。根据上年度各部室整体支出绩效目标和项目绩效目标完成情况，在安排预算时对相应部室和项目的预算进行相应调整。</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en-US" w:eastAsia="zh-CN"/>
        </w:rPr>
        <w:t>4</w:t>
      </w:r>
      <w:r>
        <w:rPr>
          <w:rFonts w:hint="eastAsia" w:ascii="Times New Roman" w:hAnsi="Times New Roman" w:eastAsia="仿宋_GB2312" w:cs="Times New Roman"/>
          <w:color w:val="000000"/>
          <w:kern w:val="0"/>
          <w:sz w:val="32"/>
          <w:szCs w:val="32"/>
          <w:shd w:val="clear" w:color="auto" w:fill="FFFFFF"/>
          <w:lang w:val="zh-CN"/>
        </w:rPr>
        <w:t>.应用反馈。202</w:t>
      </w:r>
      <w:r>
        <w:rPr>
          <w:rFonts w:hint="eastAsia" w:ascii="Times New Roman" w:hAnsi="Times New Roman" w:eastAsia="仿宋_GB2312" w:cs="Times New Roman"/>
          <w:color w:val="000000"/>
          <w:kern w:val="0"/>
          <w:sz w:val="32"/>
          <w:szCs w:val="32"/>
          <w:shd w:val="clear" w:color="auto" w:fill="FFFFFF"/>
          <w:lang w:val="en-US" w:eastAsia="zh-CN"/>
        </w:rPr>
        <w:t>3</w:t>
      </w:r>
      <w:r>
        <w:rPr>
          <w:rFonts w:hint="eastAsia" w:ascii="Times New Roman" w:hAnsi="Times New Roman" w:eastAsia="仿宋_GB2312" w:cs="Times New Roman"/>
          <w:color w:val="000000"/>
          <w:kern w:val="0"/>
          <w:sz w:val="32"/>
          <w:szCs w:val="32"/>
          <w:shd w:val="clear" w:color="auto" w:fill="FFFFFF"/>
          <w:lang w:val="zh-CN"/>
        </w:rPr>
        <w:t>年，我会根据财政部门规定时间内反馈应用绩效结果报告。</w:t>
      </w:r>
    </w:p>
    <w:p>
      <w:pPr>
        <w:widowControl/>
        <w:adjustRightInd w:val="0"/>
        <w:snapToGrid w:val="0"/>
        <w:spacing w:line="620" w:lineRule="exact"/>
        <w:ind w:firstLine="640" w:firstLineChars="200"/>
        <w:contextualSpacing/>
        <w:jc w:val="left"/>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四、评价结论及建议</w:t>
      </w:r>
    </w:p>
    <w:p>
      <w:pPr>
        <w:widowControl/>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（一）评价结论</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2</w:t>
      </w:r>
      <w:r>
        <w:rPr>
          <w:rFonts w:hint="eastAsia" w:ascii="Times New Roman" w:hAnsi="Times New Roman" w:eastAsia="仿宋_GB2312" w:cs="Times New Roman"/>
          <w:color w:val="000000"/>
          <w:kern w:val="0"/>
          <w:sz w:val="32"/>
          <w:szCs w:val="32"/>
          <w:shd w:val="clear" w:color="auto" w:fill="FFFFFF"/>
          <w:lang w:val="zh-CN"/>
        </w:rPr>
        <w:t>02</w:t>
      </w:r>
      <w:r>
        <w:rPr>
          <w:rFonts w:hint="eastAsia" w:ascii="Times New Roman" w:hAnsi="Times New Roman" w:eastAsia="仿宋_GB2312" w:cs="Times New Roman"/>
          <w:color w:val="000000"/>
          <w:kern w:val="0"/>
          <w:sz w:val="32"/>
          <w:szCs w:val="32"/>
          <w:shd w:val="clear" w:color="auto" w:fill="FFFFFF"/>
          <w:lang w:val="en-US" w:eastAsia="zh-CN"/>
        </w:rPr>
        <w:t>3</w:t>
      </w:r>
      <w:r>
        <w:rPr>
          <w:rFonts w:hint="eastAsia" w:ascii="Times New Roman" w:hAnsi="Times New Roman" w:eastAsia="仿宋_GB2312" w:cs="Times New Roman"/>
          <w:color w:val="000000"/>
          <w:kern w:val="0"/>
          <w:sz w:val="32"/>
          <w:szCs w:val="32"/>
          <w:shd w:val="clear" w:color="auto" w:fill="FFFFFF"/>
          <w:lang w:val="zh-CN"/>
        </w:rPr>
        <w:t>年，我会绩效目标编制完整、细化量化，</w:t>
      </w:r>
      <w:r>
        <w:rPr>
          <w:rFonts w:hint="eastAsia" w:ascii="Times New Roman" w:hAnsi="Times New Roman" w:eastAsia="仿宋_GB2312" w:cs="Times New Roman"/>
          <w:color w:val="000000"/>
          <w:kern w:val="0"/>
          <w:sz w:val="32"/>
          <w:szCs w:val="32"/>
          <w:shd w:val="clear" w:color="auto" w:fill="FFFFFF"/>
          <w:lang w:val="en-US" w:eastAsia="zh-CN"/>
        </w:rPr>
        <w:t>2023年度涉及执行2个项目，绩效目标完成率100%；重点科目的年初预算与决算数偏差程度为0，控制良好，年度内开展了2个项目的绩效运行监控，实际支出进度达到目标。</w:t>
      </w:r>
    </w:p>
    <w:p>
      <w:pPr>
        <w:widowControl w:val="0"/>
        <w:numPr>
          <w:ilvl w:val="0"/>
          <w:numId w:val="6"/>
        </w:numPr>
        <w:jc w:val="both"/>
        <w:rPr>
          <w:rFonts w:hint="eastAsia" w:ascii="Times New Roman" w:hAnsi="Times New Roman" w:eastAsia="仿宋_GB2312" w:cs="Times New Roman"/>
          <w:kern w:val="2"/>
          <w:sz w:val="32"/>
          <w:szCs w:val="24"/>
          <w:lang w:val="en-US" w:eastAsia="zh-CN" w:bidi="ar-SA"/>
        </w:rPr>
      </w:pP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绩效自评优。具体详见表：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481"/>
        <w:gridCol w:w="1398"/>
        <w:gridCol w:w="1398"/>
        <w:gridCol w:w="1398"/>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一级指标</w:t>
            </w:r>
          </w:p>
        </w:tc>
        <w:tc>
          <w:tcPr>
            <w:tcW w:w="1566"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二级指标</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三级指标</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指标分值</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自评得分</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restart"/>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部门预算管理（</w:t>
            </w:r>
            <w:r>
              <w:rPr>
                <w:rFonts w:hint="eastAsia" w:ascii="Times New Roman" w:hAnsi="Times New Roman" w:eastAsia="仿宋_GB2312" w:cs="Times New Roman"/>
                <w:kern w:val="2"/>
                <w:sz w:val="32"/>
                <w:szCs w:val="24"/>
                <w:vertAlign w:val="baseline"/>
                <w:lang w:val="en-US" w:eastAsia="zh-CN" w:bidi="ar-SA"/>
              </w:rPr>
              <w:t>20分</w:t>
            </w:r>
            <w:r>
              <w:rPr>
                <w:rFonts w:hint="eastAsia" w:ascii="Times New Roman" w:hAnsi="Times New Roman" w:eastAsia="仿宋_GB2312" w:cs="Times New Roman"/>
                <w:kern w:val="2"/>
                <w:sz w:val="32"/>
                <w:szCs w:val="24"/>
                <w:vertAlign w:val="baseline"/>
                <w:lang w:val="zh-CN" w:eastAsia="zh-CN" w:bidi="ar-SA"/>
              </w:rPr>
              <w:t>）</w:t>
            </w:r>
          </w:p>
        </w:tc>
        <w:tc>
          <w:tcPr>
            <w:tcW w:w="1566" w:type="dxa"/>
            <w:vMerge w:val="restart"/>
            <w:noWrap w:val="0"/>
            <w:vAlign w:val="top"/>
          </w:tcPr>
          <w:p>
            <w:pPr>
              <w:widowControl w:val="0"/>
              <w:numPr>
                <w:ilvl w:val="0"/>
                <w:numId w:val="0"/>
              </w:numPr>
              <w:ind w:firstLine="382" w:firstLineChars="0"/>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预算编制（</w:t>
            </w:r>
            <w:r>
              <w:rPr>
                <w:rFonts w:hint="eastAsia" w:ascii="Times New Roman" w:hAnsi="Times New Roman" w:eastAsia="仿宋_GB2312" w:cs="Times New Roman"/>
                <w:kern w:val="2"/>
                <w:sz w:val="32"/>
                <w:szCs w:val="24"/>
                <w:vertAlign w:val="baseline"/>
                <w:lang w:val="en-US" w:eastAsia="zh-CN" w:bidi="ar-SA"/>
              </w:rPr>
              <w:t>25分</w:t>
            </w:r>
            <w:r>
              <w:rPr>
                <w:rFonts w:hint="eastAsia" w:ascii="Times New Roman" w:hAnsi="Times New Roman" w:eastAsia="仿宋_GB2312" w:cs="Times New Roman"/>
                <w:kern w:val="2"/>
                <w:sz w:val="32"/>
                <w:szCs w:val="24"/>
                <w:vertAlign w:val="baseline"/>
                <w:lang w:val="zh-CN" w:eastAsia="zh-CN" w:bidi="ar-SA"/>
              </w:rPr>
              <w:t>）</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目标制定</w:t>
            </w:r>
          </w:p>
        </w:tc>
        <w:tc>
          <w:tcPr>
            <w:tcW w:w="1567"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10</w:t>
            </w:r>
          </w:p>
        </w:tc>
        <w:tc>
          <w:tcPr>
            <w:tcW w:w="1567"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10</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目标完成</w:t>
            </w:r>
          </w:p>
        </w:tc>
        <w:tc>
          <w:tcPr>
            <w:tcW w:w="1567"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15</w:t>
            </w:r>
          </w:p>
        </w:tc>
        <w:tc>
          <w:tcPr>
            <w:tcW w:w="1567"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15</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6" w:type="dxa"/>
            <w:vMerge w:val="restart"/>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预算执行（</w:t>
            </w:r>
            <w:r>
              <w:rPr>
                <w:rFonts w:hint="eastAsia" w:ascii="Times New Roman" w:hAnsi="Times New Roman" w:eastAsia="仿宋_GB2312" w:cs="Times New Roman"/>
                <w:kern w:val="2"/>
                <w:sz w:val="32"/>
                <w:szCs w:val="24"/>
                <w:vertAlign w:val="baseline"/>
                <w:lang w:val="en-US" w:eastAsia="zh-CN" w:bidi="ar-SA"/>
              </w:rPr>
              <w:t>20分</w:t>
            </w:r>
            <w:r>
              <w:rPr>
                <w:rFonts w:hint="eastAsia" w:ascii="Times New Roman" w:hAnsi="Times New Roman" w:eastAsia="仿宋_GB2312" w:cs="Times New Roman"/>
                <w:kern w:val="2"/>
                <w:sz w:val="32"/>
                <w:szCs w:val="24"/>
                <w:vertAlign w:val="baseline"/>
                <w:lang w:val="zh-CN" w:eastAsia="zh-CN" w:bidi="ar-SA"/>
              </w:rPr>
              <w:t>）</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支出控制</w:t>
            </w:r>
          </w:p>
        </w:tc>
        <w:tc>
          <w:tcPr>
            <w:tcW w:w="1567"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10</w:t>
            </w:r>
          </w:p>
        </w:tc>
        <w:tc>
          <w:tcPr>
            <w:tcW w:w="1567"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10</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及时处置</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5</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5</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执行进度</w:t>
            </w:r>
          </w:p>
        </w:tc>
        <w:tc>
          <w:tcPr>
            <w:tcW w:w="1567"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10</w:t>
            </w:r>
          </w:p>
        </w:tc>
        <w:tc>
          <w:tcPr>
            <w:tcW w:w="1567"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10</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6" w:type="dxa"/>
            <w:vMerge w:val="restart"/>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完成结果（</w:t>
            </w:r>
            <w:r>
              <w:rPr>
                <w:rFonts w:hint="eastAsia" w:ascii="Times New Roman" w:hAnsi="Times New Roman" w:eastAsia="仿宋_GB2312" w:cs="Times New Roman"/>
                <w:kern w:val="2"/>
                <w:sz w:val="32"/>
                <w:szCs w:val="24"/>
                <w:vertAlign w:val="baseline"/>
                <w:lang w:val="en-US" w:eastAsia="zh-CN" w:bidi="ar-SA"/>
              </w:rPr>
              <w:t>20分</w:t>
            </w:r>
            <w:r>
              <w:rPr>
                <w:rFonts w:hint="eastAsia" w:ascii="Times New Roman" w:hAnsi="Times New Roman" w:eastAsia="仿宋_GB2312" w:cs="Times New Roman"/>
                <w:kern w:val="2"/>
                <w:sz w:val="32"/>
                <w:szCs w:val="24"/>
                <w:vertAlign w:val="baseline"/>
                <w:lang w:val="zh-CN" w:eastAsia="zh-CN" w:bidi="ar-SA"/>
              </w:rPr>
              <w:t>）</w:t>
            </w:r>
          </w:p>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预算完成</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5</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5</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24"/>
                <w:szCs w:val="21"/>
                <w:vertAlign w:val="baseline"/>
                <w:lang w:val="zh-CN" w:eastAsia="zh-CN" w:bidi="ar-SA"/>
              </w:rPr>
              <w:t>资金结余率</w:t>
            </w:r>
          </w:p>
        </w:tc>
        <w:tc>
          <w:tcPr>
            <w:tcW w:w="1567"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10</w:t>
            </w:r>
          </w:p>
        </w:tc>
        <w:tc>
          <w:tcPr>
            <w:tcW w:w="1567"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10</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违规记录</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5</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5</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restart"/>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p>
            <w:pPr>
              <w:bidi w:val="0"/>
              <w:jc w:val="center"/>
              <w:rPr>
                <w:rFonts w:hint="eastAsia" w:ascii="Times New Roman" w:hAnsi="Times New Roman" w:eastAsia="仿宋_GB2312" w:cs="Times New Roman"/>
                <w:sz w:val="32"/>
                <w:lang w:val="zh-CN"/>
              </w:rPr>
            </w:pPr>
            <w:r>
              <w:rPr>
                <w:rFonts w:hint="eastAsia" w:ascii="Times New Roman" w:hAnsi="Times New Roman" w:eastAsia="仿宋_GB2312" w:cs="Times New Roman"/>
                <w:sz w:val="32"/>
                <w:lang w:val="zh-CN"/>
              </w:rPr>
              <w:t>绩效结果应用（</w:t>
            </w:r>
            <w:r>
              <w:rPr>
                <w:rFonts w:hint="eastAsia" w:ascii="Times New Roman" w:hAnsi="Times New Roman" w:eastAsia="仿宋_GB2312" w:cs="Times New Roman"/>
                <w:sz w:val="32"/>
                <w:lang w:val="en-US" w:eastAsia="zh-CN"/>
              </w:rPr>
              <w:t>20分</w:t>
            </w:r>
            <w:r>
              <w:rPr>
                <w:rFonts w:hint="eastAsia" w:ascii="Times New Roman" w:hAnsi="Times New Roman" w:eastAsia="仿宋_GB2312" w:cs="Times New Roman"/>
                <w:sz w:val="32"/>
                <w:lang w:val="zh-CN"/>
              </w:rPr>
              <w:t>）</w:t>
            </w:r>
          </w:p>
        </w:tc>
        <w:tc>
          <w:tcPr>
            <w:tcW w:w="1566"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内部应用（</w:t>
            </w:r>
            <w:r>
              <w:rPr>
                <w:rFonts w:hint="eastAsia" w:ascii="Times New Roman" w:hAnsi="Times New Roman" w:eastAsia="仿宋_GB2312" w:cs="Times New Roman"/>
                <w:kern w:val="2"/>
                <w:sz w:val="32"/>
                <w:szCs w:val="24"/>
                <w:vertAlign w:val="baseline"/>
                <w:lang w:val="en-US" w:eastAsia="zh-CN" w:bidi="ar-SA"/>
              </w:rPr>
              <w:t>6分</w:t>
            </w:r>
            <w:r>
              <w:rPr>
                <w:rFonts w:hint="eastAsia" w:ascii="Times New Roman" w:hAnsi="Times New Roman" w:eastAsia="仿宋_GB2312" w:cs="Times New Roman"/>
                <w:kern w:val="2"/>
                <w:sz w:val="32"/>
                <w:szCs w:val="24"/>
                <w:vertAlign w:val="baseline"/>
                <w:lang w:val="zh-CN" w:eastAsia="zh-CN" w:bidi="ar-SA"/>
              </w:rPr>
              <w:t>）</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预算挂钩</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6</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6</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6"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信息公开（</w:t>
            </w:r>
            <w:r>
              <w:rPr>
                <w:rFonts w:hint="eastAsia" w:ascii="Times New Roman" w:hAnsi="Times New Roman" w:eastAsia="仿宋_GB2312" w:cs="Times New Roman"/>
                <w:kern w:val="2"/>
                <w:sz w:val="32"/>
                <w:szCs w:val="24"/>
                <w:vertAlign w:val="baseline"/>
                <w:lang w:val="en-US" w:eastAsia="zh-CN" w:bidi="ar-SA"/>
              </w:rPr>
              <w:t>4分</w:t>
            </w:r>
            <w:r>
              <w:rPr>
                <w:rFonts w:hint="eastAsia" w:ascii="Times New Roman" w:hAnsi="Times New Roman" w:eastAsia="仿宋_GB2312" w:cs="Times New Roman"/>
                <w:kern w:val="2"/>
                <w:sz w:val="32"/>
                <w:szCs w:val="24"/>
                <w:vertAlign w:val="baseline"/>
                <w:lang w:val="zh-CN" w:eastAsia="zh-CN" w:bidi="ar-SA"/>
              </w:rPr>
              <w:t>）</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自评公开</w:t>
            </w:r>
          </w:p>
        </w:tc>
        <w:tc>
          <w:tcPr>
            <w:tcW w:w="1567"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4</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4</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6" w:type="dxa"/>
            <w:vMerge w:val="restart"/>
            <w:noWrap w:val="0"/>
            <w:vAlign w:val="top"/>
          </w:tcPr>
          <w:p>
            <w:pPr>
              <w:widowControl w:val="0"/>
              <w:numPr>
                <w:ilvl w:val="0"/>
                <w:numId w:val="0"/>
              </w:numPr>
              <w:ind w:firstLine="592" w:firstLineChars="0"/>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24"/>
                <w:szCs w:val="21"/>
                <w:vertAlign w:val="baseline"/>
                <w:lang w:val="zh-CN" w:eastAsia="zh-CN" w:bidi="ar-SA"/>
              </w:rPr>
              <w:t>整改反馈（</w:t>
            </w:r>
            <w:r>
              <w:rPr>
                <w:rFonts w:hint="eastAsia" w:ascii="Times New Roman" w:hAnsi="Times New Roman" w:eastAsia="仿宋_GB2312" w:cs="Times New Roman"/>
                <w:kern w:val="2"/>
                <w:sz w:val="24"/>
                <w:szCs w:val="21"/>
                <w:vertAlign w:val="baseline"/>
                <w:lang w:val="en-US" w:eastAsia="zh-CN" w:bidi="ar-SA"/>
              </w:rPr>
              <w:t>10</w:t>
            </w:r>
            <w:r>
              <w:rPr>
                <w:rFonts w:hint="eastAsia" w:ascii="Times New Roman" w:hAnsi="Times New Roman" w:eastAsia="仿宋_GB2312" w:cs="Times New Roman"/>
                <w:kern w:val="2"/>
                <w:sz w:val="32"/>
                <w:szCs w:val="24"/>
                <w:vertAlign w:val="baseline"/>
                <w:lang w:val="en-US" w:eastAsia="zh-CN" w:bidi="ar-SA"/>
              </w:rPr>
              <w:t>分</w:t>
            </w:r>
            <w:r>
              <w:rPr>
                <w:rFonts w:hint="eastAsia" w:ascii="Times New Roman" w:hAnsi="Times New Roman" w:eastAsia="仿宋_GB2312" w:cs="Times New Roman"/>
                <w:kern w:val="2"/>
                <w:sz w:val="32"/>
                <w:szCs w:val="24"/>
                <w:vertAlign w:val="baseline"/>
                <w:lang w:val="zh-CN" w:eastAsia="zh-CN" w:bidi="ar-SA"/>
              </w:rPr>
              <w:t>）</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结果整改</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6</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6</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6" w:type="dxa"/>
            <w:vMerge w:val="continue"/>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应用反馈</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4</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4</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自评质量</w:t>
            </w:r>
          </w:p>
        </w:tc>
        <w:tc>
          <w:tcPr>
            <w:tcW w:w="1566"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自评质量</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r>
              <w:rPr>
                <w:rFonts w:hint="eastAsia" w:ascii="Times New Roman" w:hAnsi="Times New Roman" w:eastAsia="仿宋_GB2312" w:cs="Times New Roman"/>
                <w:kern w:val="2"/>
                <w:sz w:val="32"/>
                <w:szCs w:val="24"/>
                <w:vertAlign w:val="baseline"/>
                <w:lang w:val="zh-CN" w:eastAsia="zh-CN" w:bidi="ar-SA"/>
              </w:rPr>
              <w:t>自评准确</w:t>
            </w:r>
          </w:p>
        </w:tc>
        <w:tc>
          <w:tcPr>
            <w:tcW w:w="1567"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10</w:t>
            </w:r>
          </w:p>
        </w:tc>
        <w:tc>
          <w:tcPr>
            <w:tcW w:w="1567" w:type="dxa"/>
            <w:noWrap w:val="0"/>
            <w:vAlign w:val="top"/>
          </w:tcPr>
          <w:p>
            <w:pPr>
              <w:widowControl w:val="0"/>
              <w:numPr>
                <w:ilvl w:val="0"/>
                <w:numId w:val="0"/>
              </w:numPr>
              <w:jc w:val="both"/>
              <w:rPr>
                <w:rFonts w:hint="default" w:ascii="Times New Roman" w:hAnsi="Times New Roman" w:eastAsia="仿宋_GB2312" w:cs="Times New Roman"/>
                <w:kern w:val="2"/>
                <w:sz w:val="32"/>
                <w:szCs w:val="24"/>
                <w:vertAlign w:val="baseline"/>
                <w:lang w:val="en-US" w:eastAsia="zh-CN" w:bidi="ar-SA"/>
              </w:rPr>
            </w:pPr>
            <w:r>
              <w:rPr>
                <w:rFonts w:hint="eastAsia" w:ascii="Times New Roman" w:hAnsi="Times New Roman" w:eastAsia="仿宋_GB2312" w:cs="Times New Roman"/>
                <w:kern w:val="2"/>
                <w:sz w:val="32"/>
                <w:szCs w:val="24"/>
                <w:vertAlign w:val="baseline"/>
                <w:lang w:val="en-US" w:eastAsia="zh-CN" w:bidi="ar-SA"/>
              </w:rPr>
              <w:t>10</w:t>
            </w:r>
          </w:p>
        </w:tc>
        <w:tc>
          <w:tcPr>
            <w:tcW w:w="1567" w:type="dxa"/>
            <w:noWrap w:val="0"/>
            <w:vAlign w:val="top"/>
          </w:tcPr>
          <w:p>
            <w:pPr>
              <w:widowControl w:val="0"/>
              <w:numPr>
                <w:ilvl w:val="0"/>
                <w:numId w:val="0"/>
              </w:numPr>
              <w:jc w:val="both"/>
              <w:rPr>
                <w:rFonts w:hint="eastAsia" w:ascii="Times New Roman" w:hAnsi="Times New Roman" w:eastAsia="仿宋_GB2312" w:cs="Times New Roman"/>
                <w:kern w:val="2"/>
                <w:sz w:val="32"/>
                <w:szCs w:val="24"/>
                <w:vertAlign w:val="baseline"/>
                <w:lang w:val="zh-CN" w:eastAsia="zh-CN" w:bidi="ar-SA"/>
              </w:rPr>
            </w:pPr>
          </w:p>
        </w:tc>
      </w:tr>
    </w:tbl>
    <w:p>
      <w:pPr>
        <w:widowControl w:val="0"/>
        <w:numPr>
          <w:ilvl w:val="0"/>
          <w:numId w:val="0"/>
        </w:numPr>
        <w:ind w:leftChars="0"/>
        <w:jc w:val="both"/>
        <w:rPr>
          <w:rFonts w:hint="eastAsia" w:ascii="Times New Roman" w:hAnsi="Times New Roman" w:eastAsia="仿宋_GB2312" w:cs="Times New Roman"/>
          <w:color w:val="000000"/>
          <w:kern w:val="0"/>
          <w:sz w:val="32"/>
          <w:szCs w:val="32"/>
          <w:shd w:val="clear" w:color="auto" w:fill="FFFFFF"/>
          <w:lang w:val="zh-CN" w:eastAsia="zh-CN" w:bidi="ar-SA"/>
        </w:rPr>
      </w:pPr>
    </w:p>
    <w:p>
      <w:pPr>
        <w:widowControl/>
        <w:numPr>
          <w:ilvl w:val="0"/>
          <w:numId w:val="5"/>
        </w:numPr>
        <w:adjustRightInd w:val="0"/>
        <w:snapToGrid w:val="0"/>
        <w:spacing w:line="620" w:lineRule="exact"/>
        <w:ind w:left="0" w:leftChars="0"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存在问题</w:t>
      </w:r>
    </w:p>
    <w:p>
      <w:pPr>
        <w:widowControl/>
        <w:numPr>
          <w:ilvl w:val="0"/>
          <w:numId w:val="0"/>
        </w:numPr>
        <w:adjustRightInd w:val="0"/>
        <w:snapToGrid w:val="0"/>
        <w:spacing w:line="620" w:lineRule="exact"/>
        <w:ind w:leftChars="196"/>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en-US" w:eastAsia="zh-CN"/>
        </w:rPr>
        <w:t>1.</w:t>
      </w:r>
      <w:r>
        <w:rPr>
          <w:rFonts w:hint="eastAsia" w:ascii="Times New Roman" w:hAnsi="Times New Roman" w:eastAsia="仿宋_GB2312" w:cs="Times New Roman"/>
          <w:color w:val="000000"/>
          <w:kern w:val="0"/>
          <w:sz w:val="32"/>
          <w:szCs w:val="32"/>
          <w:shd w:val="clear" w:color="auto" w:fill="FFFFFF"/>
          <w:lang w:val="zh-CN"/>
        </w:rPr>
        <w:t>部门预算执行进度不均衡，项目资金使用存在“前松后紧”</w:t>
      </w:r>
    </w:p>
    <w:p>
      <w:pPr>
        <w:widowControl/>
        <w:numPr>
          <w:ilvl w:val="0"/>
          <w:numId w:val="0"/>
        </w:numPr>
        <w:adjustRightInd w:val="0"/>
        <w:snapToGrid w:val="0"/>
        <w:spacing w:line="620" w:lineRule="exact"/>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现象。</w:t>
      </w:r>
    </w:p>
    <w:p>
      <w:pPr>
        <w:widowControl/>
        <w:numPr>
          <w:ilvl w:val="0"/>
          <w:numId w:val="0"/>
        </w:numPr>
        <w:adjustRightInd w:val="0"/>
        <w:snapToGrid w:val="0"/>
        <w:spacing w:line="620" w:lineRule="exact"/>
        <w:ind w:left="12" w:leftChars="0" w:firstLine="627" w:firstLineChars="196"/>
        <w:contextualSpacing/>
        <w:jc w:val="left"/>
        <w:rPr>
          <w:rFonts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en-US" w:eastAsia="zh-CN"/>
        </w:rPr>
        <w:t>2</w:t>
      </w:r>
      <w:r>
        <w:rPr>
          <w:rFonts w:hint="eastAsia" w:ascii="Times New Roman" w:hAnsi="Times New Roman" w:eastAsia="仿宋_GB2312" w:cs="Times New Roman"/>
          <w:color w:val="000000"/>
          <w:kern w:val="0"/>
          <w:sz w:val="32"/>
          <w:szCs w:val="32"/>
          <w:shd w:val="clear" w:color="auto" w:fill="FFFFFF"/>
          <w:lang w:val="zh-CN"/>
        </w:rPr>
        <w:t>.预算执行率有待提高。部分项目由于项目进度慢、时间长等原因，结算支出时间滞后，导致前期预算执行率不是很好。</w:t>
      </w:r>
    </w:p>
    <w:p>
      <w:pPr>
        <w:widowControl/>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（三）改进建议</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1.进一步细化预算编制内容，提高预算编制的科学性、合理性、准确性。</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2.加大对预算执行进度的管控工作，定期通报单位预算进度，分析存在原因，提出解决措施，尽可能避免预算执行“前松后紧”情况。</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3.进一步提高预算执行进度。加快项目实施进度，及时对预算执行情况进行通报和预警。</w:t>
      </w:r>
    </w:p>
    <w:p>
      <w:pPr>
        <w:ind w:firstLine="640" w:firstLineChars="200"/>
        <w:rPr>
          <w:rFonts w:eastAsia="仿宋_GB2312"/>
          <w:sz w:val="32"/>
          <w:szCs w:val="32"/>
          <w:lang w:val="zh-CN"/>
        </w:rPr>
      </w:pPr>
    </w:p>
    <w:p>
      <w:pPr>
        <w:ind w:firstLine="640" w:firstLineChars="200"/>
        <w:rPr>
          <w:rFonts w:hint="eastAsia"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附表：</w:t>
      </w: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预算项目支出绩效自评表（2023年度）</w:t>
      </w:r>
    </w:p>
    <w:p>
      <w:pPr>
        <w:pStyle w:val="2"/>
        <w:numPr>
          <w:ilvl w:val="0"/>
          <w:numId w:val="0"/>
        </w:numPr>
        <w:ind w:leftChars="0"/>
        <w:rPr>
          <w:lang w:val="zh-CN"/>
        </w:rPr>
      </w:pPr>
    </w:p>
    <w:tbl>
      <w:tblPr>
        <w:tblStyle w:val="15"/>
        <w:tblW w:w="8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
        <w:gridCol w:w="504"/>
        <w:gridCol w:w="1513"/>
        <w:gridCol w:w="1657"/>
        <w:gridCol w:w="504"/>
        <w:gridCol w:w="937"/>
        <w:gridCol w:w="504"/>
        <w:gridCol w:w="720"/>
        <w:gridCol w:w="432"/>
        <w:gridCol w:w="433"/>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51090821Y000000061143-公务接待费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遂宁经济技术开发区总工会部门</w:t>
            </w:r>
          </w:p>
        </w:tc>
        <w:tc>
          <w:tcPr>
            <w:tcW w:w="71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遂宁经济技术开发区总工会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5"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2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保障了单位的日常运转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共支出0.1万元公务接待费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单位对项目严格执行财务管理规定，对标项目支出绩效评价指标，在项目决策、项目实施、预算执行方面进行自评，程序严密、规划合理、结果符合预期、目标制定完整、执行有效、使用合规、预算执行和使用率都达到100%，通过对数量指标、质量指标、时效指标、可持续发展指标等进行评价，圆满完成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预算绩效管理工作政策性强、专业性强、涉及面广、操作难度大，对于从事此项工作的财务人员具有许多挑战，预算绩效管理人员的专业性有待加强。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建议区财政部门组织相关培训，多举案例分析，提升预算绩效管理人员的专业性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项目负责人：孙媛琳</w:t>
            </w:r>
          </w:p>
        </w:tc>
        <w:tc>
          <w:tcPr>
            <w:tcW w:w="37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财务负责人：冉龙华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51090822T000005847961-工会人员体检费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遂宁经济技术开发区总工会部门</w:t>
            </w:r>
          </w:p>
        </w:tc>
        <w:tc>
          <w:tcPr>
            <w:tcW w:w="71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遂宁经济技术开发区总工会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针对经开区会总工会5名职工开展体检活动,男性4人,1800元/人,女性1人,2000元/人,共计0.92万元。关心关爱单位职工身心健康,让单位职工更好地为社会服务。</w:t>
            </w:r>
          </w:p>
        </w:tc>
        <w:tc>
          <w:tcPr>
            <w:tcW w:w="2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5名职工完成体检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为5名职工进行体检，其中男性4人，1800元/人，女性1人，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2"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保障工作正常开展</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关心关爱单位职工身心健康,让单位职工更好地为社会服务</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发挥作用的期限</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工会干部职工满意度</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男1800元/人,,女2000元/人</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0.92</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单位对项目严格执行财务管理规定，对标项目支出绩效评价指标，在项目决策、项目实施、预算执行方面进行自评，程序严密、规划合理、结果符合预期、目标制定完整、执行有效、使用合规、预算执行和使用率都达到100%，通过对数量指标、质量指标、时效指标、可持续发展指标等进行评价，圆满完成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预算绩效管理工作政策性强、专业性强、涉及面广、操作难度大，对于从事此项工作的财务人员具有许多挑战，预算绩效管理人员的专业性有待加强。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建议区财政部门组织相关培训，多举案例分析，提升预算绩效管理人员的专业性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项目负责人：孙媛琳</w:t>
            </w:r>
          </w:p>
        </w:tc>
        <w:tc>
          <w:tcPr>
            <w:tcW w:w="37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财务负责人：冉龙华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51090824T000010219372-工会经费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遂宁经济技术开发区总工会部门</w:t>
            </w:r>
          </w:p>
        </w:tc>
        <w:tc>
          <w:tcPr>
            <w:tcW w:w="71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遂宁经济技术开发区总工会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慰问管委会干部职工，购买互助险，开展活动。</w:t>
            </w:r>
          </w:p>
        </w:tc>
        <w:tc>
          <w:tcPr>
            <w:tcW w:w="2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慰问了管委会干部职工，购买互助险，开展活动。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购买互助保险10万元。20万元用于职工中秋、国庆活动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保障活动顺利开展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开展关爱活动次数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发挥作用的期限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开展关心关爱会员职工活动，让他们的良好的氛围中更好为社会服务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会员职工满意程度会员职工满意程度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开展各种职工文体活动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互助险成本控制范围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单位对项目严格执行财务管理规定，对标项目支出绩效评价指标，在项目决策、项目实施、预算执行方面进行自评，程序严密、规划合理、结果符合预期、目标制定完整、执行有效、使用合规、预算执行和使用率都达到100%，通过对产出指标、效益指标、满意度指标、成本指标等进行评价，圆满完成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预算绩效管理工作政策性强、专业性强、涉及面广、操作难度大，对于从事此项工作的财务人员具有许多挑战，预算绩效管理人员的专业性有待加强。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建议区财政部门组织相关培训，多举案例分析，提升预算绩效管理人员的专业性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项目负责人：孙媛琳</w:t>
            </w:r>
          </w:p>
        </w:tc>
        <w:tc>
          <w:tcPr>
            <w:tcW w:w="37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财务负责人：冉龙华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51090822Y000000412420-定额公用经费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遂宁经济技术开发区总工会部门</w:t>
            </w:r>
          </w:p>
        </w:tc>
        <w:tc>
          <w:tcPr>
            <w:tcW w:w="71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遂宁经济技术开发区总工会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2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保障了单位的日常运转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用于办公经费，邮电费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单位对项目严格执行财务管理规定，对标项目支出绩效评价指标，在项目决策、项目实施、预算执行方面进行自评，程序严密、规划合理、结果符合预期、目标制定完整、执行有效、使用合规、预算执行和使用率都达到100%，通过对数量指标、质量指标、时效指标、可持续发展指标等进行评价，圆满完成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预算绩效管理工作政策性强、专业性强、涉及面广、操作难度大，对于从事此项工作的财务人员具有许多挑战，预算绩效管理人员的专业性有待加强。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建议区财政部门组织相关培训，多举案例分析，提升预算绩效管理人员的专业性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项目负责人：孙媛琳</w:t>
            </w:r>
          </w:p>
        </w:tc>
        <w:tc>
          <w:tcPr>
            <w:tcW w:w="37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财务负责人：冉龙华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51090823T000009753481-退休人员一次性退休补贴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遂宁经济技术开发区总工会部门</w:t>
            </w:r>
          </w:p>
        </w:tc>
        <w:tc>
          <w:tcPr>
            <w:tcW w:w="71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遂宁经济技术开发区总工会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发放退休人员一次性补贴</w:t>
            </w:r>
          </w:p>
        </w:tc>
        <w:tc>
          <w:tcPr>
            <w:tcW w:w="2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发放了退休人员一次性补贴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一次性发放退休补贴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6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单位对项目严格执行财务管理规定，对标项目支出绩效评价指标，在项目决策、项目实施、预算执行方面进行自评，程序严密、规划合理、结果符合预期、目标制定完整、执行有效、使用合规、预算执行和使用率都达到100%，通过对数量指标、质量指标、时效指标、可持续发展指标等进行评价，圆满完成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预算绩效管理工作政策性强、专业性强、涉及面广、操作难度大，对于从事此项工作的财务人员具有许多挑战，预算绩效管理人员的专业性有待加强。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建议区财政部门组织相关培训，多举案例分析，提升预算绩效管理人员的专业性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trPr>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项目负责人：孙媛琳</w:t>
            </w:r>
          </w:p>
        </w:tc>
        <w:tc>
          <w:tcPr>
            <w:tcW w:w="37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财务负责人：冉龙华</w:t>
            </w:r>
          </w:p>
        </w:tc>
      </w:tr>
    </w:tbl>
    <w:p/>
    <w:p/>
    <w:p>
      <w:pPr>
        <w:pStyle w:val="2"/>
        <w:numPr>
          <w:ilvl w:val="0"/>
          <w:numId w:val="0"/>
        </w:numPr>
        <w:ind w:leftChars="0"/>
      </w:pPr>
    </w:p>
    <w:p>
      <w:pPr>
        <w:pStyle w:val="3"/>
        <w:jc w:val="center"/>
        <w:rPr>
          <w:rFonts w:ascii="黑体" w:hAnsi="黑体" w:eastAsia="黑体"/>
        </w:rPr>
      </w:pPr>
      <w:r>
        <w:rPr>
          <w:rFonts w:hint="eastAsia" w:ascii="黑体" w:hAnsi="黑体" w:eastAsia="黑体"/>
        </w:rPr>
        <w:t>第五部分 附表</w:t>
      </w:r>
    </w:p>
    <w:p>
      <w:pPr>
        <w:rPr>
          <w:rFonts w:ascii="仿宋" w:hAnsi="仿宋" w:eastAsia="仿宋"/>
          <w:sz w:val="32"/>
          <w:szCs w:val="32"/>
        </w:rPr>
      </w:pPr>
      <w:r>
        <w:rPr>
          <w:rFonts w:hint="eastAsia" w:ascii="仿宋" w:hAnsi="仿宋" w:eastAsia="仿宋"/>
          <w:sz w:val="32"/>
          <w:szCs w:val="32"/>
        </w:rPr>
        <w:t>一、收入支出决算总表</w:t>
      </w:r>
    </w:p>
    <w:p>
      <w:pPr>
        <w:rPr>
          <w:rFonts w:ascii="仿宋" w:hAnsi="仿宋" w:eastAsia="仿宋"/>
          <w:sz w:val="32"/>
          <w:szCs w:val="32"/>
        </w:rPr>
      </w:pPr>
      <w:r>
        <w:rPr>
          <w:rFonts w:hint="eastAsia" w:ascii="仿宋" w:hAnsi="仿宋" w:eastAsia="仿宋"/>
          <w:sz w:val="32"/>
          <w:szCs w:val="32"/>
        </w:rPr>
        <w:t>二、收入决算表</w:t>
      </w:r>
    </w:p>
    <w:p>
      <w:pPr>
        <w:rPr>
          <w:rFonts w:ascii="仿宋" w:hAnsi="仿宋" w:eastAsia="仿宋"/>
          <w:sz w:val="32"/>
          <w:szCs w:val="32"/>
        </w:rPr>
      </w:pPr>
      <w:r>
        <w:rPr>
          <w:rFonts w:hint="eastAsia" w:ascii="仿宋" w:hAnsi="仿宋" w:eastAsia="仿宋"/>
          <w:sz w:val="32"/>
          <w:szCs w:val="32"/>
        </w:rPr>
        <w:t>三、支出决算表</w:t>
      </w:r>
    </w:p>
    <w:p>
      <w:pPr>
        <w:rPr>
          <w:rFonts w:ascii="仿宋" w:hAnsi="仿宋" w:eastAsia="仿宋"/>
          <w:sz w:val="32"/>
          <w:szCs w:val="32"/>
        </w:rPr>
      </w:pPr>
      <w:r>
        <w:rPr>
          <w:rFonts w:hint="eastAsia" w:ascii="仿宋" w:hAnsi="仿宋" w:eastAsia="仿宋"/>
          <w:sz w:val="32"/>
          <w:szCs w:val="32"/>
        </w:rPr>
        <w:t>四、财政拨款收入支出决算总表</w:t>
      </w:r>
    </w:p>
    <w:p>
      <w:pPr>
        <w:rPr>
          <w:rFonts w:ascii="仿宋" w:hAnsi="仿宋" w:eastAsia="仿宋"/>
          <w:sz w:val="32"/>
          <w:szCs w:val="32"/>
        </w:rPr>
      </w:pPr>
      <w:r>
        <w:rPr>
          <w:rFonts w:hint="eastAsia" w:ascii="仿宋" w:hAnsi="仿宋" w:eastAsia="仿宋"/>
          <w:sz w:val="32"/>
          <w:szCs w:val="32"/>
        </w:rPr>
        <w:t>五、财政拨款支出决算明细表</w:t>
      </w:r>
    </w:p>
    <w:p>
      <w:pPr>
        <w:rPr>
          <w:rFonts w:ascii="仿宋" w:hAnsi="仿宋" w:eastAsia="仿宋"/>
          <w:sz w:val="32"/>
          <w:szCs w:val="32"/>
        </w:rPr>
      </w:pPr>
      <w:r>
        <w:rPr>
          <w:rFonts w:hint="eastAsia" w:ascii="仿宋" w:hAnsi="仿宋" w:eastAsia="仿宋"/>
          <w:sz w:val="32"/>
          <w:szCs w:val="32"/>
        </w:rPr>
        <w:t>六、一般公共预算财政拨款支出决算表</w:t>
      </w:r>
    </w:p>
    <w:p>
      <w:pPr>
        <w:rPr>
          <w:rFonts w:ascii="仿宋" w:hAnsi="仿宋" w:eastAsia="仿宋"/>
          <w:sz w:val="32"/>
          <w:szCs w:val="32"/>
        </w:rPr>
      </w:pPr>
      <w:r>
        <w:rPr>
          <w:rFonts w:hint="eastAsia" w:ascii="仿宋" w:hAnsi="仿宋" w:eastAsia="仿宋"/>
          <w:sz w:val="32"/>
          <w:szCs w:val="32"/>
        </w:rPr>
        <w:t>七、一般公共预算财政拨款支出决算明细表</w:t>
      </w:r>
    </w:p>
    <w:p>
      <w:pPr>
        <w:rPr>
          <w:rFonts w:ascii="仿宋" w:hAnsi="仿宋" w:eastAsia="仿宋"/>
          <w:sz w:val="32"/>
          <w:szCs w:val="32"/>
        </w:rPr>
      </w:pPr>
      <w:r>
        <w:rPr>
          <w:rFonts w:hint="eastAsia" w:ascii="仿宋" w:hAnsi="仿宋" w:eastAsia="仿宋"/>
          <w:sz w:val="32"/>
          <w:szCs w:val="32"/>
        </w:rPr>
        <w:t>八、一般公共预算财政拨款基本支出决算表</w:t>
      </w:r>
    </w:p>
    <w:p>
      <w:pPr>
        <w:rPr>
          <w:rFonts w:ascii="仿宋" w:hAnsi="仿宋" w:eastAsia="仿宋"/>
          <w:sz w:val="32"/>
          <w:szCs w:val="32"/>
        </w:rPr>
      </w:pPr>
      <w:r>
        <w:rPr>
          <w:rFonts w:hint="eastAsia" w:ascii="仿宋" w:hAnsi="仿宋" w:eastAsia="仿宋"/>
          <w:sz w:val="32"/>
          <w:szCs w:val="32"/>
        </w:rPr>
        <w:t>九、一般公共预算财政拨款项目支出决算表</w:t>
      </w:r>
    </w:p>
    <w:p>
      <w:pPr>
        <w:rPr>
          <w:rFonts w:ascii="仿宋" w:hAnsi="仿宋" w:eastAsia="仿宋"/>
          <w:sz w:val="32"/>
          <w:szCs w:val="32"/>
        </w:rPr>
      </w:pPr>
      <w:r>
        <w:rPr>
          <w:rFonts w:hint="eastAsia" w:ascii="仿宋" w:hAnsi="仿宋" w:eastAsia="仿宋"/>
          <w:sz w:val="32"/>
          <w:szCs w:val="32"/>
        </w:rPr>
        <w:t>十、政府性基金预算财政拨款收入支出决算表</w:t>
      </w:r>
    </w:p>
    <w:p>
      <w:pPr>
        <w:rPr>
          <w:rFonts w:ascii="仿宋" w:hAnsi="仿宋" w:eastAsia="仿宋"/>
          <w:sz w:val="32"/>
          <w:szCs w:val="32"/>
        </w:rPr>
      </w:pPr>
      <w:r>
        <w:rPr>
          <w:rFonts w:hint="eastAsia" w:ascii="仿宋" w:hAnsi="仿宋" w:eastAsia="仿宋"/>
          <w:sz w:val="32"/>
          <w:szCs w:val="32"/>
        </w:rPr>
        <w:t>十一、国有资本经营预算财政拨款收入支出决算表</w:t>
      </w:r>
    </w:p>
    <w:p>
      <w:pPr>
        <w:rPr>
          <w:rFonts w:ascii="仿宋" w:hAnsi="仿宋" w:eastAsia="仿宋"/>
          <w:sz w:val="32"/>
          <w:szCs w:val="32"/>
        </w:rPr>
      </w:pPr>
      <w:r>
        <w:rPr>
          <w:rFonts w:hint="eastAsia" w:ascii="仿宋" w:hAnsi="仿宋" w:eastAsia="仿宋"/>
          <w:sz w:val="32"/>
          <w:szCs w:val="32"/>
        </w:rPr>
        <w:t>十二、国有资本经营预算财政拨款支出决算表</w:t>
      </w:r>
    </w:p>
    <w:p>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23</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F05D3AE"/>
    <w:multiLevelType w:val="singleLevel"/>
    <w:tmpl w:val="DF05D3AE"/>
    <w:lvl w:ilvl="0" w:tentative="0">
      <w:start w:val="1"/>
      <w:numFmt w:val="decimal"/>
      <w:lvlText w:val="%1."/>
      <w:lvlJc w:val="left"/>
      <w:pPr>
        <w:tabs>
          <w:tab w:val="left" w:pos="360"/>
        </w:tabs>
        <w:ind w:left="360" w:hanging="360"/>
      </w:p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55DE6F0"/>
    <w:multiLevelType w:val="singleLevel"/>
    <w:tmpl w:val="355DE6F0"/>
    <w:lvl w:ilvl="0" w:tentative="0">
      <w:start w:val="2"/>
      <w:numFmt w:val="chineseCounting"/>
      <w:suff w:val="nothing"/>
      <w:lvlText w:val="（%1）"/>
      <w:lvlJc w:val="left"/>
      <w:rPr>
        <w:rFonts w:hint="eastAsia"/>
      </w:rPr>
    </w:lvl>
  </w:abstractNum>
  <w:abstractNum w:abstractNumId="4">
    <w:nsid w:val="53875C7D"/>
    <w:multiLevelType w:val="singleLevel"/>
    <w:tmpl w:val="53875C7D"/>
    <w:lvl w:ilvl="0" w:tentative="0">
      <w:start w:val="2"/>
      <w:numFmt w:val="chineseCounting"/>
      <w:suff w:val="nothing"/>
      <w:lvlText w:val="（%1）"/>
      <w:lvlJc w:val="left"/>
      <w:rPr>
        <w:rFonts w:hint="eastAsia"/>
      </w:rPr>
    </w:lvl>
  </w:abstractNum>
  <w:abstractNum w:abstractNumId="5">
    <w:nsid w:val="566342A0"/>
    <w:multiLevelType w:val="singleLevel"/>
    <w:tmpl w:val="566342A0"/>
    <w:lvl w:ilvl="0" w:tentative="0">
      <w:start w:val="1"/>
      <w:numFmt w:val="decimal"/>
      <w:pStyle w:val="2"/>
      <w:lvlText w:val="%1."/>
      <w:lvlJc w:val="left"/>
      <w:pPr>
        <w:tabs>
          <w:tab w:val="left" w:pos="360"/>
        </w:tabs>
        <w:ind w:left="360" w:hanging="36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wZmRkNjc0ZGNhYzU0YTg3ZGU4MWVlYjY5MjM3ZTU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66E0107"/>
    <w:rsid w:val="07996F6E"/>
    <w:rsid w:val="07DFD8BA"/>
    <w:rsid w:val="094B1B61"/>
    <w:rsid w:val="0A2032A3"/>
    <w:rsid w:val="0D35B1ED"/>
    <w:rsid w:val="0E7ED1F5"/>
    <w:rsid w:val="0F98263C"/>
    <w:rsid w:val="101860EC"/>
    <w:rsid w:val="10C055FF"/>
    <w:rsid w:val="118107EC"/>
    <w:rsid w:val="13D50BC4"/>
    <w:rsid w:val="13F5616D"/>
    <w:rsid w:val="16BB723D"/>
    <w:rsid w:val="17F9714D"/>
    <w:rsid w:val="1918F934"/>
    <w:rsid w:val="1BE8440E"/>
    <w:rsid w:val="1D155CEE"/>
    <w:rsid w:val="1DFBC4B3"/>
    <w:rsid w:val="1E076275"/>
    <w:rsid w:val="1E740ACF"/>
    <w:rsid w:val="1F19C781"/>
    <w:rsid w:val="1F33FCE5"/>
    <w:rsid w:val="1F7F7398"/>
    <w:rsid w:val="1FD2DB6F"/>
    <w:rsid w:val="1FF35744"/>
    <w:rsid w:val="1FF6BC77"/>
    <w:rsid w:val="1FF9236D"/>
    <w:rsid w:val="2333840E"/>
    <w:rsid w:val="23860B96"/>
    <w:rsid w:val="240371BF"/>
    <w:rsid w:val="257C638F"/>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5AE3FD3"/>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9CF78C4"/>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6F5F53"/>
    <w:rsid w:val="6AFFCEAF"/>
    <w:rsid w:val="6B96E9E6"/>
    <w:rsid w:val="6BCE57B5"/>
    <w:rsid w:val="6BF24341"/>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70A89"/>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List Number"/>
    <w:basedOn w:val="1"/>
    <w:semiHidden/>
    <w:unhideWhenUsed/>
    <w:qFormat/>
    <w:uiPriority w:val="99"/>
    <w:pPr>
      <w:numPr>
        <w:ilvl w:val="0"/>
        <w:numId w:val="1"/>
      </w:numPr>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11668</Words>
  <Characters>12862</Characters>
  <Lines>72</Lines>
  <Paragraphs>20</Paragraphs>
  <TotalTime>13</TotalTime>
  <ScaleCrop>false</ScaleCrop>
  <LinksUpToDate>false</LinksUpToDate>
  <CharactersWithSpaces>12907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2024-08-05T15:12:00Z</dcterms:created>
  <dc:creator>曹颖</dc:creator>
  <cp:lastModifiedBy>dzb</cp:lastModifiedBy>
  <cp:lastPrinted>2023-08-03T18:35:00Z</cp:lastPrinted>
  <dcterms:modified xsi:type="dcterms:W3CDTF">2024-12-19T15:58:48Z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5400371126594367B31D8224D5290813_13</vt:lpwstr>
  </property>
</Properties>
</file>