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0" w:name="_Toc15378441"/>
      <w:bookmarkStart w:id="1" w:name="_Toc15396475"/>
      <w:bookmarkStart w:id="2" w:name="_Toc15377193"/>
      <w:bookmarkStart w:id="3" w:name="_Toc15396597"/>
      <w:bookmarkStart w:id="4" w:name="_Toc1537742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5" w:name="_Toc15377194"/>
      <w:bookmarkStart w:id="6" w:name="_Toc15396476"/>
      <w:bookmarkStart w:id="7" w:name="_Toc15377426"/>
      <w:bookmarkStart w:id="8" w:name="_Toc15396598"/>
      <w:bookmarkStart w:id="9" w:name="_Toc15306268"/>
      <w:bookmarkStart w:id="10" w:name="_Toc15378442"/>
      <w:r>
        <w:rPr>
          <w:rFonts w:hint="eastAsia" w:ascii="方正小标宋简体" w:hAnsi="方正小标宋简体" w:eastAsia="方正小标宋简体" w:cs="方正小标宋简体"/>
          <w:color w:val="auto"/>
          <w:sz w:val="72"/>
          <w:szCs w:val="72"/>
          <w:highlight w:val="none"/>
          <w:lang w:eastAsia="zh-CN"/>
        </w:rPr>
        <w:t>四川省遂宁市市场监督管理局经开区分局单位</w:t>
      </w:r>
      <w:r>
        <w:rPr>
          <w:rFonts w:hint="eastAsia" w:ascii="方正小标宋简体" w:hAnsi="方正小标宋简体" w:eastAsia="方正小标宋简体" w:cs="方正小标宋简体"/>
          <w:color w:val="auto"/>
          <w:sz w:val="72"/>
          <w:szCs w:val="72"/>
          <w:highlight w:val="none"/>
        </w:rPr>
        <w:t>决算</w:t>
      </w:r>
      <w:bookmarkEnd w:id="5"/>
      <w:bookmarkEnd w:id="6"/>
      <w:bookmarkEnd w:id="7"/>
      <w:bookmarkEnd w:id="8"/>
      <w:bookmarkEnd w:id="9"/>
      <w:bookmarkEnd w:id="10"/>
    </w:p>
    <w:p>
      <w:pPr>
        <w:snapToGrid w:val="0"/>
        <w:jc w:val="both"/>
        <w:outlineLvl w:val="0"/>
        <w:rPr>
          <w:rFonts w:ascii="华文中宋" w:hAnsi="华文中宋" w:eastAsia="华文中宋"/>
          <w:sz w:val="36"/>
          <w:szCs w:val="36"/>
        </w:rPr>
      </w:pPr>
    </w:p>
    <w:p>
      <w:pPr>
        <w:snapToGrid w:val="0"/>
        <w:jc w:val="center"/>
        <w:rPr>
          <w:rFonts w:ascii="华文中宋" w:hAnsi="华文中宋" w:eastAsia="华文中宋"/>
          <w:sz w:val="36"/>
          <w:szCs w:val="36"/>
        </w:rPr>
      </w:pPr>
    </w:p>
    <w:p>
      <w:pPr>
        <w:pStyle w:val="19"/>
        <w:rPr>
          <w:rFonts w:ascii="华文中宋" w:hAnsi="华文中宋" w:eastAsia="华文中宋"/>
          <w:sz w:val="36"/>
          <w:szCs w:val="36"/>
        </w:rPr>
      </w:pPr>
    </w:p>
    <w:p>
      <w:pPr>
        <w:pStyle w:val="19"/>
        <w:rPr>
          <w:rFonts w:ascii="华文中宋" w:hAnsi="华文中宋" w:eastAsia="华文中宋"/>
          <w:sz w:val="36"/>
          <w:szCs w:val="36"/>
        </w:rPr>
      </w:pPr>
    </w:p>
    <w:p>
      <w:pPr>
        <w:pStyle w:val="19"/>
        <w:rPr>
          <w:rFonts w:ascii="华文中宋" w:hAnsi="华文中宋" w:eastAsia="华文中宋"/>
          <w:sz w:val="36"/>
          <w:szCs w:val="36"/>
        </w:rPr>
      </w:pPr>
    </w:p>
    <w:p>
      <w:pPr>
        <w:pStyle w:val="19"/>
        <w:rPr>
          <w:rFonts w:ascii="华文中宋" w:hAnsi="华文中宋" w:eastAsia="华文中宋"/>
          <w:sz w:val="36"/>
          <w:szCs w:val="36"/>
        </w:rPr>
      </w:pPr>
    </w:p>
    <w:p>
      <w:pPr>
        <w:pStyle w:val="19"/>
        <w:rPr>
          <w:rFonts w:ascii="华文中宋" w:hAnsi="华文中宋" w:eastAsia="华文中宋"/>
          <w:sz w:val="36"/>
          <w:szCs w:val="36"/>
        </w:rPr>
      </w:pPr>
    </w:p>
    <w:p>
      <w:pPr>
        <w:pStyle w:val="19"/>
        <w:rPr>
          <w:rFonts w:ascii="华文中宋" w:hAnsi="华文中宋" w:eastAsia="华文中宋"/>
          <w:sz w:val="36"/>
          <w:szCs w:val="36"/>
        </w:rPr>
      </w:pPr>
    </w:p>
    <w:p>
      <w:pPr>
        <w:widowControl/>
        <w:jc w:val="center"/>
        <w:rPr>
          <w:rFonts w:hint="eastAsia" w:ascii="黑体" w:hAnsi="黑体" w:eastAsia="黑体"/>
          <w:color w:val="auto"/>
          <w:sz w:val="48"/>
          <w:szCs w:val="48"/>
          <w:highlight w:val="none"/>
        </w:r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p>
    <w:p>
      <w:pPr>
        <w:rPr>
          <w:color w:val="auto"/>
          <w:highlight w:val="none"/>
        </w:rPr>
      </w:pPr>
    </w:p>
    <w:p>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3"/>
        <w:adjustRightInd w:val="0"/>
        <w:snapToGrid w:val="0"/>
        <w:spacing w:line="440" w:lineRule="exact"/>
        <w:jc w:val="left"/>
        <w:rPr>
          <w:rFonts w:hint="eastAsia"/>
          <w:lang w:eastAsia="zh-CN"/>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1</w:t>
      </w:r>
    </w:p>
    <w:p>
      <w:pPr>
        <w:pStyle w:val="13"/>
        <w:adjustRightInd w:val="0"/>
        <w:snapToGrid w:val="0"/>
        <w:spacing w:line="440" w:lineRule="exact"/>
        <w:jc w:val="left"/>
        <w:rPr>
          <w:rFonts w:hint="default" w:eastAsia="宋体"/>
          <w:color w:val="auto"/>
          <w:lang w:val="en-US"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color w:val="auto"/>
          <w:sz w:val="24"/>
          <w:highlight w:val="none"/>
          <w:lang w:val="en-US" w:eastAsia="zh-CN"/>
        </w:rPr>
        <w:t>2</w:t>
      </w:r>
    </w:p>
    <w:p>
      <w:pPr>
        <w:pStyle w:val="11"/>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lang w:eastAsia="zh-CN"/>
        </w:rPr>
        <w:t>单位</w:t>
      </w:r>
      <w:r>
        <w:rPr>
          <w:rFonts w:hint="eastAsia"/>
          <w:color w:val="auto"/>
          <w:sz w:val="24"/>
          <w:highlight w:val="none"/>
        </w:rPr>
        <w:t>决算情况说明</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一、收入支出决算总体情况说明</w:t>
      </w:r>
      <w:r>
        <w:rPr>
          <w:rFonts w:hint="eastAsia"/>
          <w:color w:val="auto"/>
          <w:sz w:val="24"/>
          <w:highlight w:val="none"/>
          <w:lang w:eastAsia="zh-CN"/>
        </w:rPr>
        <w:t>………………………………………………</w:t>
      </w:r>
      <w:r>
        <w:rPr>
          <w:rFonts w:hint="eastAsia"/>
          <w:color w:val="auto"/>
          <w:sz w:val="24"/>
          <w:highlight w:val="none"/>
          <w:lang w:val="en-US" w:eastAsia="zh-CN"/>
        </w:rPr>
        <w:t>2</w:t>
      </w:r>
    </w:p>
    <w:p>
      <w:pPr>
        <w:pStyle w:val="13"/>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eastAsia="zh-CN"/>
        </w:rPr>
        <w:t>…………………………………………………………</w:t>
      </w:r>
      <w:r>
        <w:rPr>
          <w:rFonts w:hint="eastAsia"/>
          <w:color w:val="auto"/>
          <w:sz w:val="24"/>
          <w:highlight w:val="none"/>
          <w:lang w:val="en-US" w:eastAsia="zh-CN"/>
        </w:rPr>
        <w:t>3</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color w:val="auto"/>
          <w:sz w:val="24"/>
          <w:highlight w:val="none"/>
          <w:lang w:eastAsia="zh-CN"/>
        </w:rPr>
        <w:t>…………………………………………………………</w:t>
      </w:r>
      <w:r>
        <w:rPr>
          <w:rFonts w:hint="eastAsia"/>
          <w:color w:val="auto"/>
          <w:sz w:val="24"/>
          <w:highlight w:val="none"/>
          <w:lang w:val="en-US" w:eastAsia="zh-CN"/>
        </w:rPr>
        <w:t>3</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eastAsia="zh-CN"/>
        </w:rPr>
        <w:t>……………………………………</w:t>
      </w:r>
      <w:r>
        <w:rPr>
          <w:rFonts w:hint="eastAsia"/>
          <w:color w:val="auto"/>
          <w:sz w:val="24"/>
          <w:highlight w:val="none"/>
          <w:lang w:val="en-US" w:eastAsia="zh-CN"/>
        </w:rPr>
        <w:t>4</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eastAsia="zh-CN"/>
        </w:rPr>
        <w:t>………………………………</w:t>
      </w:r>
      <w:r>
        <w:rPr>
          <w:rFonts w:hint="eastAsia"/>
          <w:color w:val="auto"/>
          <w:sz w:val="24"/>
          <w:highlight w:val="none"/>
          <w:lang w:val="en-US" w:eastAsia="zh-CN"/>
        </w:rPr>
        <w:t>4</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eastAsia="zh-CN"/>
        </w:rPr>
        <w:t>…………………………</w:t>
      </w:r>
      <w:r>
        <w:rPr>
          <w:rFonts w:hint="eastAsia"/>
          <w:color w:val="auto"/>
          <w:sz w:val="24"/>
          <w:highlight w:val="none"/>
          <w:lang w:val="en-US" w:eastAsia="zh-CN"/>
        </w:rPr>
        <w:t>7</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eastAsia="zh-CN"/>
        </w:rPr>
        <w:t>………………………………</w:t>
      </w:r>
      <w:r>
        <w:rPr>
          <w:rFonts w:hint="eastAsia"/>
          <w:color w:val="auto"/>
          <w:sz w:val="24"/>
          <w:highlight w:val="none"/>
          <w:lang w:val="en-US" w:eastAsia="zh-CN"/>
        </w:rPr>
        <w:t>8</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eastAsia="zh-CN"/>
        </w:rPr>
        <w:t>………………………………………</w:t>
      </w:r>
      <w:r>
        <w:rPr>
          <w:rFonts w:hint="eastAsia"/>
          <w:color w:val="auto"/>
          <w:sz w:val="24"/>
          <w:highlight w:val="none"/>
          <w:lang w:val="en-US" w:eastAsia="zh-CN"/>
        </w:rPr>
        <w:t>8</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eastAsia="zh-CN"/>
        </w:rPr>
        <w:t>……………………………………</w:t>
      </w:r>
      <w:r>
        <w:rPr>
          <w:rFonts w:hint="eastAsia"/>
          <w:color w:val="auto"/>
          <w:sz w:val="24"/>
          <w:highlight w:val="none"/>
          <w:lang w:val="en-US" w:eastAsia="zh-CN"/>
        </w:rPr>
        <w:t>8</w:t>
      </w:r>
    </w:p>
    <w:p>
      <w:pPr>
        <w:pStyle w:val="13"/>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eastAsia="zh-CN"/>
        </w:rPr>
        <w:t>…………………………………………………</w:t>
      </w:r>
      <w:r>
        <w:rPr>
          <w:rFonts w:hint="eastAsia"/>
          <w:color w:val="auto"/>
          <w:sz w:val="24"/>
          <w:highlight w:val="none"/>
          <w:lang w:val="en-US" w:eastAsia="zh-CN"/>
        </w:rPr>
        <w:t>8</w:t>
      </w:r>
    </w:p>
    <w:p>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eastAsia="zh-CN"/>
        </w:rPr>
        <w:t>…………………………………………………………………</w:t>
      </w:r>
      <w:r>
        <w:rPr>
          <w:rFonts w:hint="eastAsia"/>
          <w:color w:val="auto"/>
          <w:sz w:val="24"/>
          <w:highlight w:val="none"/>
          <w:lang w:val="en-US" w:eastAsia="zh-CN"/>
        </w:rPr>
        <w:t>11</w:t>
      </w:r>
    </w:p>
    <w:p>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eastAsia="zh-CN"/>
        </w:rPr>
        <w:t>………………………………………………………………………</w:t>
      </w:r>
      <w:r>
        <w:rPr>
          <w:rFonts w:hint="eastAsia"/>
          <w:color w:val="auto"/>
          <w:sz w:val="24"/>
          <w:highlight w:val="none"/>
          <w:lang w:val="en-US" w:eastAsia="zh-CN"/>
        </w:rPr>
        <w:t>15</w:t>
      </w:r>
    </w:p>
    <w:p>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eastAsia="zh-CN"/>
        </w:rPr>
        <w:t>………………………………………………………………………</w:t>
      </w:r>
      <w:r>
        <w:rPr>
          <w:rFonts w:hint="eastAsia"/>
          <w:color w:val="auto"/>
          <w:sz w:val="24"/>
          <w:highlight w:val="none"/>
          <w:lang w:val="en-US" w:eastAsia="zh-CN"/>
        </w:rPr>
        <w:t>32</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eastAsia"/>
          <w:color w:val="auto"/>
          <w:sz w:val="24"/>
          <w:highlight w:val="none"/>
          <w:lang w:eastAsia="zh-CN"/>
        </w:rPr>
        <w:t>…………………………………………………………</w:t>
      </w:r>
      <w:r>
        <w:rPr>
          <w:rFonts w:hint="eastAsia"/>
          <w:color w:val="auto"/>
          <w:sz w:val="24"/>
          <w:highlight w:val="none"/>
          <w:lang w:val="en-US" w:eastAsia="zh-CN"/>
        </w:rPr>
        <w:t>36</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color w:val="auto"/>
          <w:sz w:val="24"/>
          <w:highlight w:val="none"/>
          <w:lang w:eastAsia="zh-CN"/>
        </w:rPr>
        <w:t>…………………………………………………………………</w:t>
      </w:r>
      <w:r>
        <w:rPr>
          <w:rFonts w:hint="eastAsia"/>
          <w:color w:val="auto"/>
          <w:sz w:val="24"/>
          <w:highlight w:val="none"/>
          <w:lang w:val="en-US" w:eastAsia="zh-CN"/>
        </w:rPr>
        <w:t>34</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三、支出决算表</w:t>
      </w:r>
      <w:r>
        <w:rPr>
          <w:rFonts w:hint="eastAsia"/>
          <w:color w:val="auto"/>
          <w:sz w:val="24"/>
          <w:highlight w:val="none"/>
          <w:lang w:eastAsia="zh-CN"/>
        </w:rPr>
        <w:t>…………………………………………………………………</w:t>
      </w:r>
      <w:r>
        <w:rPr>
          <w:rFonts w:hint="eastAsia"/>
          <w:color w:val="auto"/>
          <w:sz w:val="24"/>
          <w:highlight w:val="none"/>
          <w:lang w:val="en-US" w:eastAsia="zh-CN"/>
        </w:rPr>
        <w:t>35</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四、财政拨款收入支出决算总表</w:t>
      </w:r>
      <w:r>
        <w:rPr>
          <w:rFonts w:hint="eastAsia"/>
          <w:color w:val="auto"/>
          <w:sz w:val="24"/>
          <w:highlight w:val="none"/>
          <w:lang w:eastAsia="zh-CN"/>
        </w:rPr>
        <w:t>………………………………………………</w:t>
      </w:r>
      <w:r>
        <w:rPr>
          <w:rFonts w:hint="eastAsia"/>
          <w:color w:val="auto"/>
          <w:sz w:val="24"/>
          <w:highlight w:val="none"/>
          <w:lang w:val="en-US" w:eastAsia="zh-CN"/>
        </w:rPr>
        <w:t>36</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五、财政拨款支出决算明细表</w:t>
      </w:r>
      <w:r>
        <w:rPr>
          <w:rFonts w:hint="eastAsia"/>
          <w:color w:val="auto"/>
          <w:sz w:val="24"/>
          <w:highlight w:val="none"/>
          <w:lang w:eastAsia="zh-CN"/>
        </w:rPr>
        <w:t>…………………………………………………</w:t>
      </w:r>
      <w:r>
        <w:rPr>
          <w:rFonts w:hint="eastAsia"/>
          <w:color w:val="auto"/>
          <w:sz w:val="24"/>
          <w:highlight w:val="none"/>
          <w:lang w:val="en-US" w:eastAsia="zh-CN"/>
        </w:rPr>
        <w:t>36</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eastAsia"/>
          <w:color w:val="auto"/>
          <w:sz w:val="24"/>
          <w:highlight w:val="none"/>
          <w:lang w:eastAsia="zh-CN"/>
        </w:rPr>
        <w:t>………………………………………</w:t>
      </w:r>
      <w:r>
        <w:rPr>
          <w:rFonts w:hint="eastAsia"/>
          <w:color w:val="auto"/>
          <w:sz w:val="24"/>
          <w:highlight w:val="none"/>
          <w:lang w:val="en-US" w:eastAsia="zh-CN"/>
        </w:rPr>
        <w:t>36</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color w:val="auto"/>
          <w:sz w:val="24"/>
          <w:highlight w:val="none"/>
          <w:lang w:eastAsia="zh-CN"/>
        </w:rPr>
        <w:t>…………………………………</w:t>
      </w:r>
      <w:r>
        <w:rPr>
          <w:rFonts w:hint="eastAsia"/>
          <w:color w:val="auto"/>
          <w:sz w:val="24"/>
          <w:highlight w:val="none"/>
          <w:lang w:val="en-US" w:eastAsia="zh-CN"/>
        </w:rPr>
        <w:t>36</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eastAsia="zh-CN"/>
        </w:rPr>
        <w:t>……………………………</w:t>
      </w:r>
      <w:r>
        <w:rPr>
          <w:rFonts w:hint="eastAsia"/>
          <w:color w:val="auto"/>
          <w:sz w:val="24"/>
          <w:highlight w:val="none"/>
          <w:lang w:val="en-US" w:eastAsia="zh-CN"/>
        </w:rPr>
        <w:t>36</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九、一般公共预算财政拨款项目支出决算表</w:t>
      </w:r>
      <w:r>
        <w:rPr>
          <w:rFonts w:hint="eastAsia"/>
          <w:color w:val="auto"/>
          <w:sz w:val="24"/>
          <w:highlight w:val="none"/>
          <w:lang w:eastAsia="zh-CN"/>
        </w:rPr>
        <w:t>…………………………………</w:t>
      </w:r>
      <w:r>
        <w:rPr>
          <w:rFonts w:hint="eastAsia"/>
          <w:color w:val="auto"/>
          <w:sz w:val="24"/>
          <w:highlight w:val="none"/>
          <w:lang w:val="en-US" w:eastAsia="zh-CN"/>
        </w:rPr>
        <w:t>36</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十、政府性基金预算财政拨款收入支出决算表</w:t>
      </w:r>
      <w:r>
        <w:rPr>
          <w:rFonts w:hint="eastAsia"/>
          <w:color w:val="auto"/>
          <w:sz w:val="24"/>
          <w:highlight w:val="none"/>
          <w:lang w:eastAsia="zh-CN"/>
        </w:rPr>
        <w:t>………………………………</w:t>
      </w:r>
      <w:r>
        <w:rPr>
          <w:rFonts w:hint="eastAsia"/>
          <w:color w:val="auto"/>
          <w:sz w:val="24"/>
          <w:highlight w:val="none"/>
          <w:lang w:val="en-US" w:eastAsia="zh-CN"/>
        </w:rPr>
        <w:t>36</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十一、国有资本经营预算财政拨款收入支出决算表</w:t>
      </w:r>
      <w:r>
        <w:rPr>
          <w:rFonts w:hint="eastAsia"/>
          <w:color w:val="auto"/>
          <w:sz w:val="24"/>
          <w:highlight w:val="none"/>
          <w:lang w:eastAsia="zh-CN"/>
        </w:rPr>
        <w:t>…………………………</w:t>
      </w:r>
      <w:r>
        <w:rPr>
          <w:rFonts w:hint="eastAsia"/>
          <w:color w:val="auto"/>
          <w:sz w:val="24"/>
          <w:highlight w:val="none"/>
          <w:lang w:val="en-US" w:eastAsia="zh-CN"/>
        </w:rPr>
        <w:t>36</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color w:val="auto"/>
          <w:sz w:val="24"/>
          <w:highlight w:val="none"/>
          <w:lang w:eastAsia="zh-CN"/>
        </w:rPr>
        <w:t>………………………………</w:t>
      </w:r>
      <w:r>
        <w:rPr>
          <w:rFonts w:hint="eastAsia"/>
          <w:color w:val="auto"/>
          <w:sz w:val="24"/>
          <w:highlight w:val="none"/>
          <w:lang w:val="en-US" w:eastAsia="zh-CN"/>
        </w:rPr>
        <w:t>36</w:t>
      </w:r>
    </w:p>
    <w:p>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十三、财政拨款“三公”经费支出决算表</w:t>
      </w:r>
      <w:r>
        <w:rPr>
          <w:rFonts w:hint="eastAsia"/>
          <w:color w:val="auto"/>
          <w:sz w:val="24"/>
          <w:highlight w:val="none"/>
          <w:lang w:eastAsia="zh-CN"/>
        </w:rPr>
        <w:t>……………………………………</w:t>
      </w:r>
      <w:r>
        <w:rPr>
          <w:rFonts w:hint="eastAsia"/>
          <w:color w:val="auto"/>
          <w:sz w:val="24"/>
          <w:highlight w:val="none"/>
          <w:lang w:val="en-US" w:eastAsia="zh-CN"/>
        </w:rPr>
        <w:t>36</w:t>
      </w:r>
    </w:p>
    <w:p>
      <w:pPr>
        <w:pStyle w:val="3"/>
        <w:jc w:val="center"/>
        <w:rPr>
          <w:rFonts w:hint="eastAsia" w:ascii="黑体" w:hAnsi="黑体" w:eastAsia="黑体"/>
          <w:b w:val="0"/>
          <w:color w:val="auto"/>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19"/>
        <w:rPr>
          <w:rFonts w:ascii="华文中宋" w:hAnsi="华文中宋" w:eastAsia="华文中宋"/>
          <w:sz w:val="36"/>
          <w:szCs w:val="36"/>
        </w:rPr>
      </w:pPr>
    </w:p>
    <w:p>
      <w:pPr>
        <w:pStyle w:val="3"/>
        <w:jc w:val="center"/>
        <w:rPr>
          <w:rStyle w:val="20"/>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部门</w:t>
      </w:r>
      <w:r>
        <w:rPr>
          <w:rStyle w:val="20"/>
          <w:rFonts w:hint="eastAsia" w:ascii="黑体" w:hAnsi="黑体" w:eastAsia="黑体"/>
          <w:b w:val="0"/>
          <w:bCs w:val="0"/>
          <w:color w:val="auto"/>
          <w:highlight w:val="none"/>
        </w:rPr>
        <w:t>概况</w:t>
      </w:r>
    </w:p>
    <w:p>
      <w:pPr>
        <w:widowControl/>
        <w:jc w:val="left"/>
        <w:rPr>
          <w:rFonts w:ascii="黑体" w:eastAsia="黑体"/>
          <w:color w:val="auto"/>
          <w:sz w:val="32"/>
          <w:szCs w:val="32"/>
          <w:highlight w:val="none"/>
        </w:rPr>
      </w:pPr>
    </w:p>
    <w:p>
      <w:pPr>
        <w:pStyle w:val="4"/>
        <w:numPr>
          <w:ilvl w:val="0"/>
          <w:numId w:val="1"/>
        </w:numPr>
        <w:rPr>
          <w:rStyle w:val="21"/>
          <w:rFonts w:hint="eastAsia" w:ascii="黑体" w:hAnsi="黑体" w:eastAsia="黑体"/>
          <w:b w:val="0"/>
          <w:bCs w:val="0"/>
          <w:color w:val="auto"/>
          <w:highlight w:val="none"/>
          <w:lang w:eastAsia="zh-CN"/>
        </w:rPr>
      </w:pPr>
      <w:r>
        <w:rPr>
          <w:rStyle w:val="21"/>
          <w:rFonts w:hint="eastAsia" w:ascii="黑体" w:hAnsi="黑体" w:eastAsia="黑体"/>
          <w:b w:val="0"/>
          <w:bCs w:val="0"/>
          <w:color w:val="auto"/>
          <w:highlight w:val="none"/>
          <w:lang w:eastAsia="zh-CN"/>
        </w:rPr>
        <w:t>部门职责</w:t>
      </w:r>
    </w:p>
    <w:p>
      <w:pPr>
        <w:pStyle w:val="19"/>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遂宁市市场监督管理局经开区分局（简称经开区市场监管分局）是遂宁市市场监督管理局派出机构，为正科级。挂遂宁市经开</w:t>
      </w:r>
      <w:r>
        <w:rPr>
          <w:rFonts w:hint="eastAsia" w:ascii="仿宋" w:hAnsi="仿宋" w:eastAsia="仿宋"/>
          <w:bCs/>
          <w:color w:val="000000"/>
          <w:sz w:val="32"/>
          <w:szCs w:val="32"/>
          <w:lang w:eastAsia="zh-CN"/>
        </w:rPr>
        <w:t>区</w:t>
      </w:r>
      <w:r>
        <w:rPr>
          <w:rFonts w:hint="eastAsia" w:ascii="仿宋" w:hAnsi="仿宋" w:eastAsia="仿宋"/>
          <w:bCs/>
          <w:color w:val="000000"/>
          <w:sz w:val="32"/>
          <w:szCs w:val="32"/>
        </w:rPr>
        <w:t>食品安全委员会办公室（简称区食安办）、遂宁市经开区知识产权局牌子。</w:t>
      </w:r>
    </w:p>
    <w:p>
      <w:pPr>
        <w:pStyle w:val="19"/>
        <w:ind w:firstLine="640" w:firstLineChars="200"/>
        <w:rPr>
          <w:rFonts w:hint="eastAsia"/>
          <w:lang w:eastAsia="zh-CN"/>
        </w:rPr>
      </w:pPr>
      <w:r>
        <w:rPr>
          <w:rFonts w:hint="eastAsia" w:ascii="仿宋" w:hAnsi="仿宋" w:eastAsia="仿宋"/>
          <w:bCs/>
          <w:color w:val="000000"/>
          <w:sz w:val="32"/>
          <w:szCs w:val="32"/>
        </w:rPr>
        <w:t>经开区市场监管分局贯彻落实党中央关于市场监督管理工作的方针政策和省委、市委、区党工委的决策部署，在履行职责过程中坚持和加强党对市场监督管理工作的集中统一领导，主要职责是：负责全区市场综合监督管理工作</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负责权限内市场主体的登记注册工作</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负责依法开展全区市场监督管理执法工作</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负责监督管理全区市场秩序</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统筹推进竞争政策实施，指导实施公平竞争审查制度</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负责全区宏观质量管理工作</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负责全区产品质量安全监督管理工作</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负责全区特种设备安全监督管理工作</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负责全区食品安全监督管理综合协调工作</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负责全区食品安全监督管理工作</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负责贯彻落实执行国家、省、市有关药品（含中药、民族药，下同）、医疗器械和化妆品监督管理的方针政策和法律法规</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负责统一管理全区计量工作</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负责统一管理全区标准化工作</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负责统一管理全区检验检测工作</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负责统一管理全区认证认可工作</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负责市场监督管理科技和信息化建设、新闻宣传</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负责全区知识产权战略。</w:t>
      </w:r>
    </w:p>
    <w:p>
      <w:pPr>
        <w:pStyle w:val="4"/>
        <w:numPr>
          <w:ilvl w:val="0"/>
          <w:numId w:val="0"/>
        </w:numPr>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p>
      <w:pPr>
        <w:spacing w:line="560" w:lineRule="exact"/>
        <w:ind w:firstLine="640" w:firstLineChars="200"/>
        <w:rPr>
          <w:rFonts w:hint="eastAsia" w:ascii="仿宋_GB2312" w:hAnsi="仿宋" w:eastAsia="仿宋_GB2312" w:cs="Times New Roman"/>
          <w:sz w:val="32"/>
          <w:szCs w:val="32"/>
          <w:lang w:val="en-US" w:eastAsia="zh-CN"/>
        </w:rPr>
      </w:pPr>
      <w:r>
        <w:rPr>
          <w:rFonts w:hint="eastAsia" w:ascii="仿宋" w:hAnsi="仿宋" w:eastAsia="仿宋" w:cs="仿宋"/>
          <w:i w:val="0"/>
          <w:caps w:val="0"/>
          <w:color w:val="000000"/>
          <w:spacing w:val="0"/>
          <w:sz w:val="32"/>
          <w:szCs w:val="32"/>
          <w:lang w:eastAsia="zh-CN"/>
        </w:rPr>
        <w:t>遂宁市市场监督管理局经开区分局为遂宁市市场监督管理局的派出机构，</w:t>
      </w:r>
      <w:r>
        <w:rPr>
          <w:rFonts w:hint="eastAsia" w:ascii="仿宋" w:hAnsi="仿宋" w:eastAsia="仿宋" w:cs="仿宋"/>
          <w:i w:val="0"/>
          <w:caps w:val="0"/>
          <w:color w:val="000000"/>
          <w:spacing w:val="0"/>
          <w:sz w:val="32"/>
          <w:szCs w:val="32"/>
        </w:rPr>
        <w:t>下属二级预算单位</w:t>
      </w:r>
      <w:r>
        <w:rPr>
          <w:rFonts w:hint="eastAsia" w:ascii="仿宋" w:hAnsi="仿宋" w:eastAsia="仿宋" w:cs="仿宋"/>
          <w:i w:val="0"/>
          <w:caps w:val="0"/>
          <w:color w:val="000000"/>
          <w:spacing w:val="0"/>
          <w:sz w:val="32"/>
          <w:szCs w:val="32"/>
          <w:lang w:val="en-US" w:eastAsia="zh-CN"/>
        </w:rPr>
        <w:t>0</w:t>
      </w:r>
      <w:r>
        <w:rPr>
          <w:rFonts w:hint="eastAsia" w:ascii="仿宋" w:hAnsi="仿宋" w:eastAsia="仿宋" w:cs="仿宋"/>
          <w:i w:val="0"/>
          <w:caps w:val="0"/>
          <w:color w:val="000000"/>
          <w:spacing w:val="0"/>
          <w:sz w:val="32"/>
          <w:szCs w:val="32"/>
        </w:rPr>
        <w:t>个，其中行政单位</w:t>
      </w:r>
      <w:r>
        <w:rPr>
          <w:rFonts w:hint="eastAsia" w:ascii="仿宋" w:hAnsi="仿宋" w:eastAsia="仿宋" w:cs="仿宋"/>
          <w:i w:val="0"/>
          <w:caps w:val="0"/>
          <w:color w:val="000000"/>
          <w:spacing w:val="0"/>
          <w:sz w:val="32"/>
          <w:szCs w:val="32"/>
          <w:lang w:val="en-US" w:eastAsia="zh-CN"/>
        </w:rPr>
        <w:t>0</w:t>
      </w:r>
      <w:r>
        <w:rPr>
          <w:rFonts w:hint="eastAsia" w:ascii="仿宋" w:hAnsi="仿宋" w:eastAsia="仿宋" w:cs="仿宋"/>
          <w:i w:val="0"/>
          <w:caps w:val="0"/>
          <w:color w:val="000000"/>
          <w:spacing w:val="0"/>
          <w:sz w:val="32"/>
          <w:szCs w:val="32"/>
        </w:rPr>
        <w:t>个，参照</w:t>
      </w:r>
      <w:bookmarkStart w:id="11" w:name="YS060102"/>
      <w:r>
        <w:rPr>
          <w:rFonts w:hint="eastAsia" w:ascii="仿宋_GB2312" w:hAnsi="仿宋" w:eastAsia="仿宋_GB2312" w:cs="Times New Roman"/>
          <w:sz w:val="32"/>
          <w:szCs w:val="32"/>
          <w:lang w:val="en-US" w:eastAsia="zh-CN"/>
        </w:rPr>
        <w:t>。</w:t>
      </w:r>
    </w:p>
    <w:p>
      <w:pPr>
        <w:pStyle w:val="2"/>
        <w:rPr>
          <w:rFonts w:hint="eastAsia" w:ascii="仿宋_GB2312" w:hAnsi="仿宋" w:eastAsia="仿宋_GB2312" w:cs="Times New Roman"/>
          <w:sz w:val="32"/>
          <w:szCs w:val="32"/>
          <w:lang w:val="en-US" w:eastAsia="zh-CN"/>
        </w:rPr>
      </w:pPr>
    </w:p>
    <w:p>
      <w:pPr>
        <w:pStyle w:val="3"/>
        <w:ind w:right="440"/>
        <w:jc w:val="center"/>
        <w:rPr>
          <w:rStyle w:val="20"/>
          <w:rFonts w:ascii="黑体" w:hAnsi="黑体" w:eastAsia="黑体"/>
          <w:b w:val="0"/>
          <w:bCs/>
          <w:color w:val="auto"/>
          <w:highlight w:val="none"/>
        </w:rPr>
      </w:pPr>
      <w:bookmarkStart w:id="12" w:name="_Toc15377204"/>
      <w:bookmarkStart w:id="13"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0"/>
          <w:rFonts w:hint="eastAsia" w:ascii="黑体" w:hAnsi="黑体" w:eastAsia="黑体"/>
          <w:b w:val="0"/>
          <w:bCs/>
          <w:color w:val="auto"/>
          <w:highlight w:val="none"/>
          <w:lang w:eastAsia="zh-CN"/>
        </w:rPr>
        <w:t>部门</w:t>
      </w:r>
      <w:r>
        <w:rPr>
          <w:rStyle w:val="20"/>
          <w:rFonts w:hint="eastAsia" w:ascii="黑体" w:hAnsi="黑体" w:eastAsia="黑体"/>
          <w:b w:val="0"/>
          <w:bCs/>
          <w:color w:val="auto"/>
          <w:highlight w:val="none"/>
        </w:rPr>
        <w:t>决算情况说明</w:t>
      </w:r>
      <w:bookmarkEnd w:id="12"/>
      <w:bookmarkEnd w:id="13"/>
    </w:p>
    <w:p>
      <w:pPr>
        <w:rPr>
          <w:color w:val="auto"/>
          <w:highlight w:val="none"/>
        </w:rPr>
      </w:pPr>
    </w:p>
    <w:p>
      <w:pPr>
        <w:pStyle w:val="22"/>
        <w:numPr>
          <w:ilvl w:val="0"/>
          <w:numId w:val="2"/>
        </w:numPr>
        <w:spacing w:line="600" w:lineRule="exact"/>
        <w:ind w:firstLineChars="0"/>
        <w:outlineLvl w:val="1"/>
        <w:rPr>
          <w:rFonts w:ascii="楷体_GB2312" w:hAnsi="仿宋" w:eastAsia="楷体_GB2312"/>
          <w:b/>
          <w:sz w:val="32"/>
          <w:szCs w:val="32"/>
        </w:rPr>
      </w:pPr>
      <w:bookmarkStart w:id="14" w:name="_Toc15396603"/>
      <w:bookmarkStart w:id="15" w:name="_Toc15377205"/>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11"/>
      <w:bookmarkEnd w:id="14"/>
      <w:bookmarkEnd w:id="15"/>
    </w:p>
    <w:p>
      <w:pPr>
        <w:spacing w:line="600" w:lineRule="exact"/>
        <w:ind w:firstLine="560" w:firstLineChars="200"/>
        <w:rPr>
          <w:rFonts w:hint="eastAsia" w:ascii="仿宋" w:hAnsi="仿宋" w:eastAsia="仿宋"/>
          <w:color w:val="auto"/>
          <w:sz w:val="32"/>
          <w:szCs w:val="32"/>
          <w:highlight w:val="none"/>
          <w:lang w:eastAsia="zh-CN"/>
        </w:rPr>
      </w:pPr>
      <w:r>
        <w:rPr>
          <w:rFonts w:hint="eastAsia" w:ascii="仿宋" w:hAnsi="仿宋" w:eastAsia="仿宋" w:cs="仿宋"/>
          <w:kern w:val="0"/>
          <w:sz w:val="28"/>
          <w:szCs w:val="28"/>
          <w:lang w:val="en-US" w:eastAsia="zh-CN" w:bidi="ar-SA"/>
        </w:rPr>
        <w:pict>
          <v:shape id="_x0000_s1027" o:spid="_x0000_s1027" o:spt="75" type="#_x0000_t75" style="position:absolute;left:0pt;margin-left:77pt;margin-top:88.05pt;height:191.6pt;width:337.4pt;z-index:251659264;mso-width-relative:page;mso-height-relative:page;" o:ole="t" filled="f" o:preferrelative="t" stroked="f" coordsize="21600,21600">
            <v:path/>
            <v:fill on="f" focussize="0,0"/>
            <v:stroke on="f"/>
            <v:imagedata r:id="rId8" o:title=""/>
            <o:lock v:ext="edit" aspectratio="t"/>
          </v:shape>
          <o:OLEObject Type="Embed" ProgID="Excel.Chart.8" ShapeID="_x0000_s1027" DrawAspect="Content" ObjectID="_1468075725" r:id="rId7">
            <o:LockedField>false</o:LockedField>
          </o:OLEObject>
        </w:pic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收、支总计均为</w:t>
      </w:r>
      <w:r>
        <w:rPr>
          <w:rFonts w:hint="eastAsia" w:ascii="仿宋" w:hAnsi="仿宋" w:eastAsia="仿宋"/>
          <w:color w:val="auto"/>
          <w:sz w:val="32"/>
          <w:szCs w:val="32"/>
          <w:highlight w:val="none"/>
          <w:lang w:val="en-US" w:eastAsia="zh-CN"/>
        </w:rPr>
        <w:t>618.80</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w:t>
      </w:r>
      <w:r>
        <w:rPr>
          <w:rFonts w:hint="eastAsia" w:ascii="仿宋" w:hAnsi="仿宋" w:eastAsia="仿宋"/>
          <w:color w:val="auto"/>
          <w:sz w:val="32"/>
          <w:szCs w:val="32"/>
          <w:highlight w:val="none"/>
          <w:lang w:eastAsia="zh-CN"/>
        </w:rPr>
        <w:t>收、支总计</w:t>
      </w:r>
      <w:r>
        <w:rPr>
          <w:rFonts w:hint="eastAsia" w:ascii="仿宋" w:hAnsi="仿宋" w:eastAsia="仿宋"/>
          <w:color w:val="auto"/>
          <w:sz w:val="32"/>
          <w:szCs w:val="32"/>
          <w:highlight w:val="none"/>
        </w:rPr>
        <w:t>各</w:t>
      </w:r>
      <w:r>
        <w:rPr>
          <w:rFonts w:hint="eastAsia" w:ascii="仿宋" w:hAnsi="仿宋" w:eastAsia="仿宋"/>
          <w:color w:val="auto"/>
          <w:sz w:val="32"/>
          <w:szCs w:val="32"/>
          <w:highlight w:val="none"/>
          <w:lang w:val="en-US" w:eastAsia="zh-CN"/>
        </w:rPr>
        <w:t>增加140.4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增长29.34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其他市场监督管理事务经费增加。</w:t>
      </w:r>
    </w:p>
    <w:p>
      <w:pPr>
        <w:pStyle w:val="19"/>
        <w:rPr>
          <w:rFonts w:hint="eastAsia" w:ascii="仿宋" w:hAnsi="仿宋" w:eastAsia="仿宋"/>
          <w:color w:val="auto"/>
          <w:sz w:val="32"/>
          <w:szCs w:val="32"/>
          <w:highlight w:val="none"/>
          <w:lang w:eastAsia="zh-CN"/>
        </w:rPr>
      </w:pPr>
    </w:p>
    <w:p>
      <w:pPr>
        <w:pStyle w:val="19"/>
        <w:rPr>
          <w:rFonts w:hint="eastAsia" w:ascii="仿宋" w:hAnsi="仿宋" w:eastAsia="仿宋"/>
          <w:color w:val="auto"/>
          <w:sz w:val="32"/>
          <w:szCs w:val="32"/>
          <w:highlight w:val="none"/>
          <w:lang w:eastAsia="zh-CN"/>
        </w:rPr>
      </w:pPr>
    </w:p>
    <w:p>
      <w:pPr>
        <w:pStyle w:val="19"/>
        <w:rPr>
          <w:rFonts w:hint="eastAsia" w:ascii="仿宋" w:hAnsi="仿宋" w:eastAsia="仿宋"/>
          <w:color w:val="auto"/>
          <w:sz w:val="32"/>
          <w:szCs w:val="32"/>
          <w:highlight w:val="none"/>
          <w:lang w:eastAsia="zh-CN"/>
        </w:rPr>
      </w:pPr>
    </w:p>
    <w:p>
      <w:pPr>
        <w:pStyle w:val="19"/>
        <w:rPr>
          <w:rFonts w:hint="eastAsia" w:ascii="仿宋" w:hAnsi="仿宋" w:eastAsia="仿宋"/>
          <w:color w:val="auto"/>
          <w:sz w:val="32"/>
          <w:szCs w:val="32"/>
          <w:highlight w:val="none"/>
          <w:lang w:eastAsia="zh-CN"/>
        </w:rPr>
      </w:pPr>
    </w:p>
    <w:p>
      <w:pPr>
        <w:snapToGrid w:val="0"/>
        <w:spacing w:line="520" w:lineRule="exact"/>
        <w:ind w:firstLine="640" w:firstLineChars="200"/>
        <w:rPr>
          <w:rFonts w:hint="eastAsia" w:ascii="仿宋_GB2312" w:hAnsi="仿宋" w:eastAsia="仿宋_GB2312"/>
          <w:sz w:val="32"/>
          <w:szCs w:val="32"/>
        </w:rPr>
      </w:pPr>
    </w:p>
    <w:p>
      <w:pPr>
        <w:pStyle w:val="6"/>
        <w:snapToGrid w:val="0"/>
        <w:spacing w:line="520" w:lineRule="exact"/>
        <w:ind w:firstLine="600" w:firstLineChars="200"/>
        <w:rPr>
          <w:rFonts w:hint="eastAsia"/>
          <w:lang w:val="en-US" w:eastAsia="zh-CN"/>
        </w:rPr>
      </w:pPr>
      <w:r>
        <w:rPr>
          <w:rFonts w:hint="eastAsia"/>
          <w:lang w:val="en-US" w:eastAsia="zh-CN"/>
        </w:rPr>
        <w:t xml:space="preserve"> </w:t>
      </w:r>
    </w:p>
    <w:p>
      <w:pPr>
        <w:pStyle w:val="2"/>
        <w:ind w:left="0" w:leftChars="0" w:firstLine="1280" w:firstLineChars="400"/>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2"/>
        <w:numPr>
          <w:ilvl w:val="0"/>
          <w:numId w:val="0"/>
        </w:numPr>
        <w:spacing w:line="600" w:lineRule="exact"/>
        <w:ind w:firstLine="640" w:firstLineChars="200"/>
        <w:outlineLvl w:val="1"/>
        <w:rPr>
          <w:rStyle w:val="21"/>
          <w:rFonts w:ascii="黑体" w:hAnsi="黑体" w:eastAsia="黑体"/>
          <w:b w:val="0"/>
          <w:color w:val="auto"/>
          <w:highlight w:val="none"/>
        </w:rPr>
      </w:pPr>
      <w:bookmarkStart w:id="16" w:name="_Toc15377206"/>
      <w:bookmarkStart w:id="17" w:name="_Toc15396604"/>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16"/>
      <w:bookmarkEnd w:id="17"/>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618.80</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618.80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p>
    <w:p>
      <w:pPr>
        <w:pStyle w:val="2"/>
        <w:rPr>
          <w:rFonts w:hint="eastAsia" w:ascii="仿宋" w:hAnsi="仿宋" w:eastAsia="仿宋"/>
          <w:color w:val="auto"/>
          <w:sz w:val="32"/>
          <w:szCs w:val="32"/>
          <w:highlight w:val="none"/>
        </w:rPr>
      </w:pPr>
      <w:r>
        <w:rPr>
          <w:rFonts w:hint="eastAsia" w:ascii="仿宋" w:hAnsi="仿宋" w:eastAsia="仿宋" w:cs="仿宋"/>
          <w:b/>
          <w:sz w:val="28"/>
          <w:szCs w:val="28"/>
          <w:lang w:eastAsia="zh-CN"/>
        </w:rPr>
        <w:pict>
          <v:shape id="Object 10" o:spid="_x0000_s1034" o:spt="75" type="#_x0000_t75" style="position:absolute;left:0pt;margin-left:80.65pt;margin-top:8.5pt;height:165.7pt;width:272.85pt;z-index:251661312;mso-width-relative:page;mso-height-relative:page;" o:ole="t" filled="f" o:preferrelative="t" stroked="f" coordsize="21600,21600">
            <v:path/>
            <v:fill on="f" focussize="0,0"/>
            <v:stroke on="f"/>
            <v:imagedata r:id="rId10" o:title=""/>
            <o:lock v:ext="edit" aspectratio="t"/>
          </v:shape>
          <o:OLEObject Type="Embed" ProgID="Excel.Chart.8" ShapeID="Object 10" DrawAspect="Content" ObjectID="_1468075726" r:id="rId9">
            <o:LockedField>false</o:LockedField>
          </o:OLEObject>
        </w:pict>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outlineLvl w:val="1"/>
        <w:rPr>
          <w:rFonts w:hint="eastAsia" w:ascii="仿宋" w:hAnsi="仿宋" w:eastAsia="仿宋"/>
          <w:b/>
          <w:color w:val="auto"/>
          <w:sz w:val="32"/>
          <w:szCs w:val="32"/>
          <w:highlight w:val="none"/>
        </w:rPr>
      </w:pPr>
    </w:p>
    <w:p>
      <w:pPr>
        <w:spacing w:line="600" w:lineRule="exact"/>
        <w:outlineLvl w:val="1"/>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，仅罗列本单位涉及的收入。</w:t>
      </w:r>
      <w:r>
        <w:rPr>
          <w:rFonts w:ascii="仿宋" w:hAnsi="仿宋" w:eastAsia="仿宋"/>
          <w:b/>
          <w:color w:val="auto"/>
          <w:sz w:val="32"/>
          <w:szCs w:val="32"/>
          <w:highlight w:val="none"/>
        </w:rPr>
        <w:t>）</w:t>
      </w:r>
    </w:p>
    <w:p>
      <w:pPr>
        <w:spacing w:line="600" w:lineRule="exact"/>
        <w:ind w:firstLine="640" w:firstLineChars="200"/>
      </w:pPr>
      <w:r>
        <w:rPr>
          <w:rFonts w:hint="eastAsia" w:ascii="仿宋" w:hAnsi="仿宋" w:eastAsia="仿宋"/>
          <w:color w:val="auto"/>
          <w:sz w:val="32"/>
          <w:szCs w:val="32"/>
          <w:highlight w:val="none"/>
        </w:rPr>
        <w:t>（图2：收入决算结构图）（饼状图）</w:t>
      </w:r>
    </w:p>
    <w:p>
      <w:pPr>
        <w:pStyle w:val="22"/>
        <w:numPr>
          <w:ilvl w:val="0"/>
          <w:numId w:val="0"/>
        </w:numPr>
        <w:spacing w:line="600" w:lineRule="exact"/>
        <w:ind w:firstLine="640" w:firstLineChars="200"/>
        <w:outlineLvl w:val="1"/>
        <w:rPr>
          <w:rStyle w:val="21"/>
          <w:rFonts w:ascii="黑体" w:hAnsi="黑体" w:eastAsia="黑体"/>
          <w:b w:val="0"/>
          <w:color w:val="auto"/>
          <w:highlight w:val="none"/>
        </w:rPr>
      </w:pPr>
      <w:r>
        <w:rPr>
          <w:rFonts w:hint="eastAsia" w:ascii="黑体" w:hAnsi="黑体" w:eastAsia="黑体"/>
          <w:color w:val="auto"/>
          <w:sz w:val="32"/>
          <w:szCs w:val="32"/>
          <w:highlight w:val="none"/>
          <w:lang w:eastAsia="zh-CN"/>
        </w:rPr>
        <w:t>三、支出</w:t>
      </w:r>
      <w:r>
        <w:rPr>
          <w:rStyle w:val="21"/>
          <w:rFonts w:hint="eastAsia" w:ascii="黑体" w:hAnsi="黑体" w:eastAsia="黑体"/>
          <w:b w:val="0"/>
          <w:color w:val="auto"/>
          <w:highlight w:val="none"/>
        </w:rPr>
        <w:t>决算情况说明</w:t>
      </w:r>
    </w:p>
    <w:p>
      <w:pPr>
        <w:spacing w:line="600" w:lineRule="exact"/>
        <w:ind w:firstLine="562" w:firstLineChars="200"/>
        <w:outlineLvl w:val="1"/>
        <w:rPr>
          <w:rFonts w:ascii="仿宋" w:hAnsi="仿宋" w:eastAsia="仿宋"/>
          <w:color w:val="auto"/>
          <w:sz w:val="32"/>
          <w:szCs w:val="32"/>
          <w:highlight w:val="none"/>
        </w:rPr>
      </w:pPr>
      <w:r>
        <w:rPr>
          <w:rFonts w:hint="eastAsia" w:ascii="仿宋" w:hAnsi="仿宋" w:eastAsia="仿宋" w:cs="仿宋"/>
          <w:b/>
          <w:sz w:val="28"/>
          <w:szCs w:val="28"/>
          <w:lang w:eastAsia="zh-CN"/>
        </w:rPr>
        <w:pict>
          <v:shape id="_x0000_s1035" o:spid="_x0000_s1035" o:spt="75" type="#_x0000_t75" style="position:absolute;left:0pt;margin-left:142.1pt;margin-top:105.4pt;height:165.7pt;width:232.7pt;z-index:251663360;mso-width-relative:page;mso-height-relative:page;" o:ole="t" filled="f" o:preferrelative="t" stroked="f" coordsize="21600,21600">
            <v:path/>
            <v:fill on="f" focussize="0,0"/>
            <v:stroke on="f"/>
            <v:imagedata r:id="rId12" o:title=""/>
            <o:lock v:ext="edit" aspectratio="t"/>
          </v:shape>
          <o:OLEObject Type="Embed" ProgID="Excel.Chart.8" ShapeID="_x0000_s1035" DrawAspect="Content" ObjectID="_1468075727" r:id="rId11">
            <o:LockedField>false</o:LockedField>
          </o:OLEObject>
        </w:pic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度本年支出</w:t>
      </w:r>
      <w:r>
        <w:rPr>
          <w:rFonts w:hint="eastAsia" w:ascii="仿宋" w:hAnsi="仿宋" w:eastAsia="仿宋"/>
          <w:color w:val="auto"/>
          <w:sz w:val="32"/>
          <w:szCs w:val="32"/>
          <w:highlight w:val="none"/>
        </w:rPr>
        <w:t>合计</w:t>
      </w:r>
      <w:r>
        <w:rPr>
          <w:rFonts w:hint="eastAsia" w:ascii="仿宋" w:hAnsi="仿宋" w:eastAsia="仿宋"/>
          <w:color w:val="auto"/>
          <w:sz w:val="32"/>
          <w:szCs w:val="32"/>
          <w:highlight w:val="none"/>
          <w:lang w:val="en-US" w:eastAsia="zh-CN"/>
        </w:rPr>
        <w:t>618.80</w:t>
      </w:r>
      <w:r>
        <w:rPr>
          <w:rFonts w:hint="eastAsia" w:ascii="仿宋" w:hAnsi="仿宋" w:eastAsia="仿宋"/>
          <w:color w:val="auto"/>
          <w:sz w:val="32"/>
          <w:szCs w:val="32"/>
          <w:highlight w:val="none"/>
        </w:rPr>
        <w:t>万元，其中：</w:t>
      </w:r>
      <w:r>
        <w:rPr>
          <w:rFonts w:hint="eastAsia" w:ascii="仿宋" w:hAnsi="仿宋" w:eastAsia="仿宋"/>
          <w:color w:val="auto"/>
          <w:sz w:val="32"/>
          <w:szCs w:val="32"/>
          <w:highlight w:val="none"/>
          <w:lang w:eastAsia="zh-CN"/>
        </w:rPr>
        <w:t>基本支出</w:t>
      </w:r>
      <w:r>
        <w:rPr>
          <w:rFonts w:hint="eastAsia" w:ascii="仿宋" w:hAnsi="仿宋" w:eastAsia="仿宋"/>
          <w:color w:val="auto"/>
          <w:sz w:val="32"/>
          <w:szCs w:val="32"/>
          <w:highlight w:val="none"/>
          <w:lang w:val="en-US" w:eastAsia="zh-CN"/>
        </w:rPr>
        <w:t>320.70万元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51.83</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项目支出298.1万元，占48.17%；</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outlineLvl w:val="1"/>
        <w:rPr>
          <w:rFonts w:hint="eastAsia" w:ascii="黑体" w:hAnsi="黑体" w:eastAsia="黑体"/>
          <w:color w:val="auto"/>
          <w:sz w:val="32"/>
          <w:szCs w:val="32"/>
          <w:highlight w:val="none"/>
        </w:rPr>
      </w:pPr>
      <w:bookmarkStart w:id="18" w:name="_Toc15377208"/>
      <w:bookmarkStart w:id="19" w:name="_Toc15396606"/>
    </w:p>
    <w:p>
      <w:pPr>
        <w:spacing w:line="600" w:lineRule="exact"/>
        <w:outlineLvl w:val="1"/>
        <w:rPr>
          <w:rFonts w:ascii="仿宋" w:hAnsi="仿宋" w:eastAsia="仿宋"/>
          <w:color w:val="auto"/>
          <w:sz w:val="32"/>
          <w:szCs w:val="32"/>
          <w:highlight w:val="none"/>
          <w:shd w:val="pct10" w:color="auto" w:fill="FFFFFF"/>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，仅罗列本单位涉及的支出。</w:t>
      </w:r>
      <w:r>
        <w:rPr>
          <w:rFonts w:hint="eastAsia" w:ascii="仿宋" w:hAnsi="仿宋" w:eastAsia="仿宋"/>
          <w:b/>
          <w:color w:val="auto"/>
          <w:sz w:val="32"/>
          <w:szCs w:val="32"/>
          <w:highlight w:val="none"/>
        </w:rPr>
        <w:t>）</w:t>
      </w:r>
    </w:p>
    <w:p>
      <w:pPr>
        <w:spacing w:line="600" w:lineRule="exact"/>
        <w:ind w:firstLine="640" w:firstLineChars="200"/>
        <w:rPr>
          <w:rFonts w:hint="eastAsia" w:ascii="黑体" w:hAnsi="黑体" w:eastAsia="黑体"/>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1"/>
          <w:rFonts w:ascii="黑体" w:hAnsi="黑体" w:eastAsia="黑体"/>
          <w:b w:val="0"/>
          <w:color w:val="auto"/>
          <w:highlight w:val="none"/>
        </w:rPr>
      </w:pPr>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财政拨款收、支总计均为</w:t>
      </w:r>
      <w:r>
        <w:rPr>
          <w:rFonts w:hint="eastAsia" w:ascii="仿宋" w:hAnsi="仿宋" w:eastAsia="仿宋"/>
          <w:color w:val="auto"/>
          <w:sz w:val="32"/>
          <w:szCs w:val="32"/>
          <w:highlight w:val="none"/>
          <w:lang w:val="en-US" w:eastAsia="zh-CN"/>
        </w:rPr>
        <w:t>618.80</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w:t>
      </w:r>
      <w:r>
        <w:rPr>
          <w:rFonts w:hint="eastAsia" w:ascii="仿宋" w:hAnsi="仿宋" w:eastAsia="仿宋"/>
          <w:color w:val="auto"/>
          <w:sz w:val="32"/>
          <w:szCs w:val="32"/>
          <w:highlight w:val="none"/>
          <w:lang w:eastAsia="zh-CN"/>
        </w:rPr>
        <w:t>财政拨款收、支总计</w:t>
      </w:r>
      <w:r>
        <w:rPr>
          <w:rFonts w:hint="eastAsia" w:ascii="仿宋" w:hAnsi="仿宋" w:eastAsia="仿宋"/>
          <w:color w:val="auto"/>
          <w:sz w:val="32"/>
          <w:szCs w:val="32"/>
          <w:highlight w:val="none"/>
        </w:rPr>
        <w:t>各</w:t>
      </w:r>
      <w:r>
        <w:rPr>
          <w:rFonts w:hint="eastAsia" w:ascii="仿宋" w:hAnsi="仿宋" w:eastAsia="仿宋"/>
          <w:color w:val="auto"/>
          <w:sz w:val="32"/>
          <w:szCs w:val="32"/>
          <w:highlight w:val="none"/>
          <w:lang w:val="en-US" w:eastAsia="zh-CN"/>
        </w:rPr>
        <w:t>增加140.4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上升29.34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其他市场监督管理事务经费增加。</w:t>
      </w:r>
    </w:p>
    <w:p>
      <w:pPr>
        <w:spacing w:line="600" w:lineRule="exact"/>
        <w:ind w:firstLine="560" w:firstLineChars="200"/>
        <w:rPr>
          <w:rFonts w:hint="eastAsia" w:ascii="仿宋" w:hAnsi="仿宋" w:eastAsia="仿宋"/>
          <w:color w:val="auto"/>
          <w:sz w:val="32"/>
          <w:szCs w:val="32"/>
          <w:highlight w:val="none"/>
          <w:lang w:eastAsia="zh-CN"/>
        </w:rPr>
      </w:pPr>
      <w:r>
        <w:rPr>
          <w:rFonts w:hint="eastAsia" w:ascii="仿宋" w:hAnsi="仿宋" w:eastAsia="仿宋" w:cs="仿宋"/>
          <w:kern w:val="0"/>
          <w:sz w:val="28"/>
          <w:szCs w:val="28"/>
          <w:lang w:val="en-US" w:eastAsia="zh-CN" w:bidi="ar-SA"/>
        </w:rPr>
        <w:pict>
          <v:shape id="_x0000_s1028" o:spid="_x0000_s1028" o:spt="75" type="#_x0000_t75" style="position:absolute;left:0pt;margin-left:82.65pt;margin-top:0.9pt;height:201.5pt;width:354.85pt;z-index:251660288;mso-width-relative:page;mso-height-relative:page;" o:ole="t" filled="f" o:preferrelative="t" stroked="f" coordsize="21600,21600">
            <v:path/>
            <v:fill on="f" focussize="0,0"/>
            <v:stroke on="f"/>
            <v:imagedata r:id="rId14" o:title=""/>
            <o:lock v:ext="edit" aspectratio="t"/>
          </v:shape>
          <o:OLEObject Type="Embed" ProgID="Excel.Chart.8" ShapeID="_x0000_s1028" DrawAspect="Content" ObjectID="_1468075728" r:id="rId13">
            <o:LockedField>false</o:LockedField>
          </o:OLEObject>
        </w:pict>
      </w:r>
    </w:p>
    <w:p>
      <w:pPr>
        <w:snapToGrid w:val="0"/>
        <w:spacing w:line="520" w:lineRule="exact"/>
        <w:ind w:firstLine="640" w:firstLineChars="200"/>
        <w:rPr>
          <w:rFonts w:hint="eastAsia" w:ascii="仿宋_GB2312" w:hAnsi="仿宋" w:eastAsia="仿宋_GB2312"/>
          <w:sz w:val="32"/>
          <w:szCs w:val="32"/>
        </w:rPr>
      </w:pPr>
    </w:p>
    <w:p>
      <w:pPr>
        <w:pStyle w:val="6"/>
        <w:rPr>
          <w:rFonts w:hint="eastAsia"/>
          <w:lang w:val="en-US" w:eastAsia="zh-CN"/>
        </w:rPr>
      </w:pPr>
      <w:r>
        <w:rPr>
          <w:rFonts w:hint="eastAsia"/>
          <w:lang w:val="en-US" w:eastAsia="zh-CN"/>
        </w:rPr>
        <w:t xml:space="preserve">           </w:t>
      </w:r>
    </w:p>
    <w:p>
      <w:pPr>
        <w:rPr>
          <w:rFonts w:hint="eastAsia"/>
          <w:lang w:val="en-US" w:eastAsia="zh-CN"/>
        </w:rPr>
      </w:pPr>
    </w:p>
    <w:p>
      <w:pPr>
        <w:pStyle w:val="19"/>
      </w:pPr>
    </w:p>
    <w:p>
      <w:pPr>
        <w:snapToGrid w:val="0"/>
        <w:spacing w:line="520" w:lineRule="exact"/>
        <w:ind w:firstLine="642" w:firstLineChars="200"/>
        <w:rPr>
          <w:rFonts w:hint="eastAsia" w:ascii="仿宋_GB2312" w:hAnsi="仿宋" w:eastAsia="仿宋_GB2312"/>
          <w:b/>
          <w:sz w:val="32"/>
          <w:szCs w:val="32"/>
        </w:rPr>
      </w:pPr>
    </w:p>
    <w:p>
      <w:pPr>
        <w:snapToGrid w:val="0"/>
        <w:spacing w:line="520" w:lineRule="exact"/>
        <w:ind w:firstLine="642" w:firstLineChars="200"/>
        <w:rPr>
          <w:rFonts w:hint="eastAsia" w:ascii="仿宋_GB2312" w:hAnsi="仿宋" w:eastAsia="仿宋_GB2312"/>
          <w:b/>
          <w:sz w:val="32"/>
          <w:szCs w:val="32"/>
        </w:rPr>
      </w:pPr>
    </w:p>
    <w:p>
      <w:pPr>
        <w:snapToGrid w:val="0"/>
        <w:spacing w:line="520" w:lineRule="exact"/>
        <w:ind w:firstLine="642" w:firstLineChars="200"/>
        <w:rPr>
          <w:rFonts w:hint="eastAsia" w:ascii="仿宋_GB2312" w:hAnsi="仿宋" w:eastAsia="仿宋_GB2312"/>
          <w:b/>
          <w:sz w:val="32"/>
          <w:szCs w:val="32"/>
        </w:rPr>
      </w:pPr>
    </w:p>
    <w:p>
      <w:pPr>
        <w:spacing w:line="600" w:lineRule="exact"/>
        <w:ind w:firstLine="963" w:firstLineChars="3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21"/>
          <w:rFonts w:ascii="黑体" w:hAnsi="黑体" w:eastAsia="黑体"/>
          <w:b w:val="0"/>
          <w:color w:val="auto"/>
          <w:highlight w:val="none"/>
        </w:rPr>
      </w:pPr>
      <w:bookmarkStart w:id="20" w:name="_Toc15377209"/>
      <w:bookmarkStart w:id="21"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20"/>
      <w:bookmarkEnd w:id="21"/>
    </w:p>
    <w:p>
      <w:pPr>
        <w:spacing w:line="600" w:lineRule="exact"/>
        <w:ind w:firstLine="642" w:firstLineChars="200"/>
        <w:outlineLvl w:val="2"/>
        <w:rPr>
          <w:rFonts w:ascii="仿宋" w:hAnsi="仿宋" w:eastAsia="仿宋"/>
          <w:b/>
          <w:color w:val="auto"/>
          <w:sz w:val="32"/>
          <w:szCs w:val="32"/>
          <w:highlight w:val="none"/>
        </w:rPr>
      </w:pPr>
      <w:bookmarkStart w:id="22" w:name="_Toc15377210"/>
      <w:r>
        <w:rPr>
          <w:rFonts w:hint="eastAsia" w:ascii="仿宋" w:hAnsi="仿宋" w:eastAsia="仿宋"/>
          <w:b/>
          <w:color w:val="auto"/>
          <w:sz w:val="32"/>
          <w:szCs w:val="32"/>
          <w:highlight w:val="none"/>
        </w:rPr>
        <w:t>（一）一般公共预算财政拨款支出决算总体情况</w:t>
      </w:r>
      <w:bookmarkEnd w:id="22"/>
    </w:p>
    <w:p>
      <w:pPr>
        <w:spacing w:line="600" w:lineRule="exact"/>
        <w:ind w:firstLine="560" w:firstLineChars="200"/>
        <w:rPr>
          <w:rFonts w:hint="eastAsia" w:ascii="仿宋" w:hAnsi="仿宋" w:eastAsia="仿宋"/>
          <w:color w:val="auto"/>
          <w:sz w:val="32"/>
          <w:szCs w:val="32"/>
          <w:highlight w:val="none"/>
          <w:lang w:eastAsia="zh-CN"/>
        </w:rPr>
      </w:pPr>
      <w:r>
        <w:rPr>
          <w:rFonts w:hint="eastAsia" w:ascii="仿宋" w:hAnsi="仿宋" w:eastAsia="仿宋" w:cs="仿宋"/>
          <w:kern w:val="0"/>
          <w:sz w:val="28"/>
          <w:szCs w:val="28"/>
          <w:lang w:val="en-US" w:eastAsia="zh-CN" w:bidi="ar-SA"/>
        </w:rPr>
        <w:pict>
          <v:shape id="_x0000_s1037" o:spid="_x0000_s1037" o:spt="75" type="#_x0000_t75" style="position:absolute;left:0pt;margin-left:128.35pt;margin-top:102.3pt;height:157.5pt;width:266.6pt;z-index:251664384;mso-width-relative:page;mso-height-relative:page;" o:ole="t" filled="f" o:preferrelative="t" stroked="f" coordsize="21600,21600">
            <v:path/>
            <v:fill on="f" focussize="0,0"/>
            <v:stroke on="f"/>
            <v:imagedata r:id="rId16" o:title=""/>
            <o:lock v:ext="edit" aspectratio="t"/>
          </v:shape>
          <o:OLEObject Type="Embed" ProgID="Excel.Chart.8" ShapeID="_x0000_s1037" DrawAspect="Content" ObjectID="_1468075729" r:id="rId15">
            <o:LockedField>false</o:LockedField>
          </o:OLEObject>
        </w:pic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618.80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，占本年支出合计</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相比，一般公共预算财政拨款支出</w:t>
      </w:r>
      <w:r>
        <w:rPr>
          <w:rFonts w:hint="eastAsia" w:ascii="仿宋" w:hAnsi="仿宋" w:eastAsia="仿宋"/>
          <w:color w:val="auto"/>
          <w:sz w:val="32"/>
          <w:szCs w:val="32"/>
          <w:highlight w:val="none"/>
          <w:lang w:val="en-US" w:eastAsia="zh-CN"/>
        </w:rPr>
        <w:t>增加140.4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上升29.34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其他市场监督管理事务经费增加。</w:t>
      </w:r>
    </w:p>
    <w:p>
      <w:pPr>
        <w:pStyle w:val="2"/>
        <w:rPr>
          <w:rFonts w:hint="eastAsia"/>
        </w:rPr>
      </w:pPr>
    </w:p>
    <w:p>
      <w:pPr>
        <w:rPr>
          <w:rFonts w:hint="eastAsia"/>
        </w:rPr>
      </w:pPr>
    </w:p>
    <w:p>
      <w:pPr>
        <w:pStyle w:val="2"/>
        <w:ind w:left="0" w:leftChars="0" w:firstLine="0" w:firstLineChars="0"/>
        <w:rPr>
          <w:rFonts w:hint="eastAsia"/>
        </w:rPr>
      </w:pPr>
    </w:p>
    <w:p>
      <w:pPr>
        <w:spacing w:line="600" w:lineRule="exact"/>
        <w:ind w:firstLine="642" w:firstLineChars="200"/>
        <w:outlineLvl w:val="2"/>
        <w:rPr>
          <w:rFonts w:ascii="仿宋" w:hAnsi="仿宋" w:eastAsia="仿宋"/>
          <w:b/>
          <w:color w:val="auto"/>
          <w:sz w:val="32"/>
          <w:szCs w:val="32"/>
          <w:highlight w:val="none"/>
        </w:rPr>
      </w:pPr>
      <w:bookmarkStart w:id="23" w:name="_Toc15377211"/>
      <w:r>
        <w:rPr>
          <w:rFonts w:hint="eastAsia" w:ascii="仿宋" w:hAnsi="仿宋" w:eastAsia="仿宋"/>
          <w:b/>
          <w:color w:val="auto"/>
          <w:sz w:val="32"/>
          <w:szCs w:val="32"/>
          <w:highlight w:val="none"/>
        </w:rPr>
        <w:t>（二）一般公共预算财政拨款支出决算结构情况</w:t>
      </w:r>
      <w:bookmarkEnd w:id="23"/>
    </w:p>
    <w:p>
      <w:pPr>
        <w:spacing w:line="600" w:lineRule="exact"/>
        <w:ind w:firstLine="640" w:firstLineChars="200"/>
        <w:outlineLvl w:val="1"/>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度一般公共预算财政拨款</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618.80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主要用于以下方面：一般</w:t>
      </w:r>
      <w:r>
        <w:rPr>
          <w:rFonts w:hint="eastAsia" w:ascii="仿宋" w:hAnsi="仿宋" w:eastAsia="仿宋"/>
          <w:color w:val="auto"/>
          <w:sz w:val="32"/>
          <w:szCs w:val="32"/>
          <w:highlight w:val="none"/>
          <w:lang w:val="en-US" w:eastAsia="zh-CN"/>
        </w:rPr>
        <w:t>公共服务</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524.48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84.75%</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社会保障与就在支出38.32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6.19</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资源勘探工业信息等支出56万元，占9.06%。</w:t>
      </w:r>
    </w:p>
    <w:p>
      <w:pPr>
        <w:pStyle w:val="2"/>
        <w:rPr>
          <w:rFonts w:hint="eastAsia" w:ascii="仿宋" w:hAnsi="仿宋" w:eastAsia="仿宋"/>
          <w:color w:val="auto"/>
          <w:sz w:val="32"/>
          <w:szCs w:val="32"/>
          <w:highlight w:val="none"/>
        </w:rPr>
      </w:pPr>
      <w:r>
        <w:rPr>
          <w:rFonts w:hint="eastAsia" w:ascii="仿宋" w:hAnsi="仿宋" w:eastAsia="仿宋" w:cs="仿宋"/>
          <w:b/>
          <w:sz w:val="28"/>
          <w:szCs w:val="28"/>
          <w:lang w:eastAsia="zh-CN"/>
        </w:rPr>
        <w:pict>
          <v:shape id="_x0000_s1038" o:spid="_x0000_s1038" o:spt="75" type="#_x0000_t75" style="position:absolute;left:0pt;margin-left:89.7pt;margin-top:3.65pt;height:165.7pt;width:272.85pt;z-index:251665408;mso-width-relative:page;mso-height-relative:page;" o:ole="t" filled="f" o:preferrelative="t" stroked="f" coordsize="21600,21600">
            <v:path/>
            <v:fill on="f" focussize="0,0"/>
            <v:stroke on="f"/>
            <v:imagedata r:id="rId18" o:title=""/>
            <o:lock v:ext="edit" aspectratio="t"/>
          </v:shape>
          <o:OLEObject Type="Embed" ProgID="Excel.Chart.8" ShapeID="_x0000_s1038" DrawAspect="Content" ObjectID="_1468075730" r:id="rId17">
            <o:LockedField>false</o:LockedField>
          </o:OLEObject>
        </w:pict>
      </w:r>
    </w:p>
    <w:p>
      <w:pPr>
        <w:rPr>
          <w:rFonts w:hint="eastAsia" w:ascii="仿宋" w:hAnsi="仿宋" w:eastAsia="仿宋"/>
          <w:color w:val="auto"/>
          <w:sz w:val="32"/>
          <w:szCs w:val="32"/>
          <w:highlight w:val="none"/>
        </w:rPr>
      </w:pPr>
    </w:p>
    <w:p>
      <w:pPr>
        <w:pStyle w:val="2"/>
      </w:pPr>
    </w:p>
    <w:p>
      <w:pPr>
        <w:pStyle w:val="6"/>
        <w:ind w:firstLine="600" w:firstLineChars="200"/>
        <w:rPr>
          <w:rFonts w:hint="eastAsia"/>
          <w:lang w:val="en-US" w:eastAsia="zh-CN"/>
        </w:rPr>
      </w:pPr>
      <w:r>
        <w:rPr>
          <w:rFonts w:hint="eastAsia"/>
          <w:lang w:val="en-US" w:eastAsia="zh-CN"/>
        </w:rPr>
        <w:t xml:space="preserve">       </w:t>
      </w:r>
    </w:p>
    <w:p>
      <w:pPr>
        <w:rPr>
          <w:rFonts w:hint="eastAsia"/>
          <w:lang w:val="en-US" w:eastAsia="zh-CN"/>
        </w:rPr>
      </w:pPr>
    </w:p>
    <w:p>
      <w:pPr>
        <w:pStyle w:val="2"/>
      </w:pPr>
    </w:p>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2" w:firstLineChars="200"/>
        <w:outlineLvl w:val="2"/>
        <w:rPr>
          <w:rFonts w:ascii="仿宋" w:hAnsi="仿宋" w:eastAsia="仿宋"/>
          <w:b/>
          <w:color w:val="auto"/>
          <w:sz w:val="32"/>
          <w:szCs w:val="32"/>
          <w:highlight w:val="none"/>
        </w:rPr>
      </w:pPr>
      <w:bookmarkStart w:id="24" w:name="_Toc15377212"/>
      <w:r>
        <w:rPr>
          <w:rFonts w:hint="eastAsia" w:ascii="仿宋" w:hAnsi="仿宋" w:eastAsia="仿宋"/>
          <w:b/>
          <w:color w:val="auto"/>
          <w:sz w:val="32"/>
          <w:szCs w:val="32"/>
          <w:highlight w:val="none"/>
        </w:rPr>
        <w:t>（三）一般公共预算财政拨款支出决算具体情况</w:t>
      </w:r>
      <w:bookmarkEnd w:id="24"/>
    </w:p>
    <w:p>
      <w:pPr>
        <w:spacing w:line="600" w:lineRule="exact"/>
        <w:ind w:firstLine="642" w:firstLineChars="200"/>
        <w:outlineLvl w:val="2"/>
        <w:rPr>
          <w:rFonts w:ascii="仿宋" w:hAnsi="仿宋" w:eastAsia="仿宋"/>
          <w:color w:val="auto"/>
          <w:sz w:val="32"/>
          <w:szCs w:val="32"/>
          <w:highlight w:val="none"/>
        </w:rPr>
      </w:pPr>
      <w:bookmarkStart w:id="25" w:name="_Toc15377213"/>
      <w:bookmarkStart w:id="26" w:name="_Toc15378460"/>
      <w:bookmarkStart w:id="27"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618.80</w:t>
      </w:r>
      <w:r>
        <w:rPr>
          <w:rFonts w:hint="eastAsia" w:ascii="仿宋" w:hAnsi="仿宋" w:eastAsia="仿宋"/>
          <w:b/>
          <w:color w:val="auto"/>
          <w:sz w:val="32"/>
          <w:szCs w:val="32"/>
          <w:highlight w:val="none"/>
          <w:lang w:val="en-US" w:eastAsia="zh-CN"/>
        </w:rPr>
        <w:t>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25"/>
      <w:bookmarkEnd w:id="26"/>
      <w:bookmarkEnd w:id="27"/>
    </w:p>
    <w:p>
      <w:pPr>
        <w:spacing w:line="600" w:lineRule="exact"/>
        <w:ind w:firstLine="642" w:firstLineChars="200"/>
        <w:rPr>
          <w:rFonts w:ascii="仿宋" w:hAnsi="仿宋" w:eastAsia="仿宋"/>
          <w:b/>
          <w:color w:val="auto"/>
          <w:sz w:val="32"/>
          <w:szCs w:val="32"/>
          <w:highlight w:val="none"/>
        </w:rPr>
      </w:pPr>
      <w:r>
        <w:rPr>
          <w:rStyle w:val="17"/>
          <w:rFonts w:hint="eastAsia" w:ascii="仿宋" w:hAnsi="仿宋" w:eastAsia="仿宋"/>
          <w:bCs/>
          <w:color w:val="000000"/>
          <w:sz w:val="32"/>
          <w:szCs w:val="32"/>
          <w:lang w:val="en-US" w:eastAsia="zh-CN"/>
        </w:rPr>
        <w:t>1</w:t>
      </w:r>
      <w:r>
        <w:rPr>
          <w:rStyle w:val="17"/>
          <w:rFonts w:ascii="仿宋" w:hAnsi="仿宋" w:eastAsia="仿宋"/>
          <w:bCs/>
          <w:color w:val="000000"/>
          <w:sz w:val="32"/>
          <w:szCs w:val="32"/>
        </w:rPr>
        <w:t>.</w:t>
      </w:r>
      <w:r>
        <w:rPr>
          <w:rStyle w:val="17"/>
          <w:rFonts w:hint="eastAsia" w:ascii="仿宋" w:hAnsi="仿宋" w:eastAsia="仿宋"/>
          <w:bCs/>
          <w:color w:val="000000"/>
          <w:sz w:val="32"/>
          <w:szCs w:val="32"/>
          <w:lang w:val="en-US" w:eastAsia="zh-CN"/>
        </w:rPr>
        <w:t>一般公共服务支出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市场监督管理事务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val="en-US" w:eastAsia="zh-CN"/>
        </w:rPr>
        <w:t>行政运行</w:t>
      </w:r>
      <w:r>
        <w:rPr>
          <w:rStyle w:val="17"/>
          <w:rFonts w:hint="eastAsia" w:ascii="仿宋" w:hAnsi="仿宋" w:eastAsia="仿宋"/>
          <w:bCs/>
          <w:color w:val="000000"/>
          <w:sz w:val="32"/>
          <w:szCs w:val="32"/>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320.7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2.</w:t>
      </w:r>
      <w:r>
        <w:rPr>
          <w:rStyle w:val="17"/>
          <w:rFonts w:hint="eastAsia" w:ascii="仿宋" w:hAnsi="仿宋" w:eastAsia="仿宋"/>
          <w:bCs/>
          <w:color w:val="000000"/>
          <w:sz w:val="32"/>
          <w:szCs w:val="32"/>
          <w:lang w:val="en-US" w:eastAsia="zh-CN"/>
        </w:rPr>
        <w:t>一般公共服务支出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市场监督管理事务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val="en-US" w:eastAsia="zh-CN"/>
        </w:rPr>
        <w:t>一般行政管理事务</w:t>
      </w:r>
      <w:r>
        <w:rPr>
          <w:rStyle w:val="17"/>
          <w:rFonts w:hint="eastAsia" w:ascii="仿宋" w:hAnsi="仿宋" w:eastAsia="仿宋"/>
          <w:bCs/>
          <w:color w:val="000000"/>
          <w:sz w:val="32"/>
          <w:szCs w:val="32"/>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82.66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3.</w:t>
      </w:r>
      <w:r>
        <w:rPr>
          <w:rStyle w:val="17"/>
          <w:rFonts w:hint="eastAsia" w:ascii="仿宋" w:hAnsi="仿宋" w:eastAsia="仿宋"/>
          <w:bCs/>
          <w:color w:val="000000"/>
          <w:sz w:val="32"/>
          <w:szCs w:val="32"/>
          <w:lang w:val="en-US" w:eastAsia="zh-CN"/>
        </w:rPr>
        <w:t>一般公共服务支出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市场监督管理事务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val="en-US" w:eastAsia="zh-CN"/>
        </w:rPr>
        <w:t>市场主体管理</w:t>
      </w:r>
      <w:r>
        <w:rPr>
          <w:rStyle w:val="17"/>
          <w:rFonts w:hint="eastAsia" w:ascii="仿宋" w:hAnsi="仿宋" w:eastAsia="仿宋"/>
          <w:bCs/>
          <w:color w:val="000000"/>
          <w:sz w:val="32"/>
          <w:szCs w:val="32"/>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20.24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4.</w:t>
      </w:r>
      <w:r>
        <w:rPr>
          <w:rStyle w:val="17"/>
          <w:rFonts w:hint="eastAsia" w:ascii="仿宋" w:hAnsi="仿宋" w:eastAsia="仿宋"/>
          <w:bCs/>
          <w:color w:val="000000"/>
          <w:sz w:val="32"/>
          <w:szCs w:val="32"/>
          <w:lang w:val="en-US" w:eastAsia="zh-CN"/>
        </w:rPr>
        <w:t>一般公共服务支出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市场监督管理事务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val="en-US" w:eastAsia="zh-CN"/>
        </w:rPr>
        <w:t>市场秩序执法</w:t>
      </w:r>
      <w:r>
        <w:rPr>
          <w:rStyle w:val="17"/>
          <w:rFonts w:hint="eastAsia" w:ascii="仿宋" w:hAnsi="仿宋" w:eastAsia="仿宋"/>
          <w:bCs/>
          <w:color w:val="000000"/>
          <w:sz w:val="32"/>
          <w:szCs w:val="32"/>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13.01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5.</w:t>
      </w:r>
      <w:r>
        <w:rPr>
          <w:rStyle w:val="17"/>
          <w:rFonts w:hint="eastAsia" w:ascii="仿宋" w:hAnsi="仿宋" w:eastAsia="仿宋"/>
          <w:bCs/>
          <w:color w:val="000000"/>
          <w:sz w:val="32"/>
          <w:szCs w:val="32"/>
          <w:lang w:val="en-US" w:eastAsia="zh-CN"/>
        </w:rPr>
        <w:t>一般公共服务支出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市场监督管理事务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val="en-US" w:eastAsia="zh-CN"/>
        </w:rPr>
        <w:t>质量基础</w:t>
      </w:r>
      <w:r>
        <w:rPr>
          <w:rStyle w:val="17"/>
          <w:rFonts w:hint="eastAsia" w:ascii="仿宋" w:hAnsi="仿宋" w:eastAsia="仿宋"/>
          <w:bCs/>
          <w:color w:val="000000"/>
          <w:sz w:val="32"/>
          <w:szCs w:val="32"/>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pStyle w:val="2"/>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6</w:t>
      </w:r>
      <w:r>
        <w:rPr>
          <w:rStyle w:val="17"/>
          <w:rFonts w:ascii="仿宋" w:hAnsi="仿宋" w:eastAsia="仿宋"/>
          <w:bCs/>
          <w:color w:val="auto"/>
          <w:sz w:val="32"/>
          <w:szCs w:val="32"/>
          <w:highlight w:val="none"/>
        </w:rPr>
        <w:t>.</w:t>
      </w:r>
      <w:r>
        <w:rPr>
          <w:rStyle w:val="17"/>
          <w:rFonts w:hint="eastAsia" w:ascii="仿宋" w:hAnsi="仿宋" w:eastAsia="仿宋"/>
          <w:bCs/>
          <w:color w:val="000000"/>
          <w:sz w:val="32"/>
          <w:szCs w:val="32"/>
          <w:lang w:val="en-US" w:eastAsia="zh-CN"/>
        </w:rPr>
        <w:t>一般公共服务支出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市场监督管理事务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val="en-US" w:eastAsia="zh-CN"/>
        </w:rPr>
        <w:t>质量安全监管</w:t>
      </w:r>
      <w:r>
        <w:rPr>
          <w:rStyle w:val="17"/>
          <w:rFonts w:hint="eastAsia" w:ascii="仿宋" w:hAnsi="仿宋" w:eastAsia="仿宋"/>
          <w:bCs/>
          <w:color w:val="000000"/>
          <w:sz w:val="32"/>
          <w:szCs w:val="32"/>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15.23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ind w:firstLine="642" w:firstLineChars="200"/>
        <w:rPr>
          <w:rStyle w:val="17"/>
          <w:rFonts w:hint="eastAsia" w:ascii="仿宋" w:hAnsi="仿宋" w:eastAsia="仿宋"/>
          <w:b w:val="0"/>
          <w:bCs/>
          <w:color w:val="auto"/>
          <w:sz w:val="32"/>
          <w:szCs w:val="32"/>
          <w:highlight w:val="none"/>
          <w:lang w:val="en-US" w:eastAsia="zh-CN"/>
        </w:rPr>
      </w:pPr>
      <w:r>
        <w:rPr>
          <w:rStyle w:val="17"/>
          <w:rFonts w:hint="eastAsia" w:ascii="仿宋" w:hAnsi="仿宋" w:eastAsia="仿宋"/>
          <w:bCs/>
          <w:color w:val="000000"/>
          <w:sz w:val="32"/>
          <w:szCs w:val="32"/>
          <w:lang w:val="en-US" w:eastAsia="zh-CN"/>
        </w:rPr>
        <w:t>7.一般公共服务支出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市场监督管理事务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val="en-US" w:eastAsia="zh-CN"/>
        </w:rPr>
        <w:t>食品安全监管</w:t>
      </w:r>
      <w:r>
        <w:rPr>
          <w:rStyle w:val="17"/>
          <w:rFonts w:hint="eastAsia" w:ascii="仿宋" w:hAnsi="仿宋" w:eastAsia="仿宋"/>
          <w:bCs/>
          <w:color w:val="000000"/>
          <w:sz w:val="32"/>
          <w:szCs w:val="32"/>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42.5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val="en-US" w:eastAsia="zh-CN"/>
        </w:rPr>
        <w:t>.</w:t>
      </w:r>
    </w:p>
    <w:p>
      <w:pPr>
        <w:pStyle w:val="2"/>
        <w:numPr>
          <w:ilvl w:val="0"/>
          <w:numId w:val="3"/>
        </w:numPr>
        <w:rPr>
          <w:rStyle w:val="17"/>
          <w:rFonts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一般公共服务支出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市场监督管理事务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val="en-US" w:eastAsia="zh-CN"/>
        </w:rPr>
        <w:t>其他市场监督管理事务</w:t>
      </w:r>
      <w:r>
        <w:rPr>
          <w:rStyle w:val="17"/>
          <w:rFonts w:hint="eastAsia" w:ascii="仿宋" w:hAnsi="仿宋" w:eastAsia="仿宋"/>
          <w:bCs/>
          <w:color w:val="000000"/>
          <w:sz w:val="32"/>
          <w:szCs w:val="32"/>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26.75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p>
    <w:p>
      <w:pPr>
        <w:numPr>
          <w:ilvl w:val="0"/>
          <w:numId w:val="3"/>
        </w:numPr>
        <w:ind w:left="0" w:leftChars="0" w:firstLine="642" w:firstLineChars="200"/>
        <w:rPr>
          <w:rStyle w:val="17"/>
          <w:rFonts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社会保障和就业支出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行政事业单位养老支出</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val="en-US" w:eastAsia="zh-CN"/>
        </w:rPr>
        <w:t>行政单位离退休</w:t>
      </w:r>
      <w:r>
        <w:rPr>
          <w:rStyle w:val="17"/>
          <w:rFonts w:hint="eastAsia" w:ascii="仿宋" w:hAnsi="仿宋" w:eastAsia="仿宋"/>
          <w:bCs/>
          <w:color w:val="000000"/>
          <w:sz w:val="32"/>
          <w:szCs w:val="32"/>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3.07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p>
    <w:p>
      <w:pPr>
        <w:pStyle w:val="2"/>
        <w:numPr>
          <w:ilvl w:val="0"/>
          <w:numId w:val="3"/>
        </w:numPr>
        <w:ind w:left="0" w:leftChars="0" w:firstLine="642" w:firstLineChars="200"/>
        <w:rPr>
          <w:rFonts w:hint="eastAsia"/>
          <w:lang w:val="en-US" w:eastAsia="zh-CN"/>
        </w:rPr>
      </w:pPr>
      <w:r>
        <w:rPr>
          <w:rStyle w:val="17"/>
          <w:rFonts w:hint="eastAsia" w:ascii="仿宋" w:hAnsi="仿宋" w:eastAsia="仿宋"/>
          <w:bCs/>
          <w:color w:val="000000"/>
          <w:sz w:val="32"/>
          <w:szCs w:val="32"/>
          <w:lang w:val="en-US" w:eastAsia="zh-CN"/>
        </w:rPr>
        <w:t>社会保障和就业支出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行政事业单位养老支出</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val="en-US" w:eastAsia="zh-CN"/>
        </w:rPr>
        <w:t>事业单位离退休</w:t>
      </w:r>
      <w:r>
        <w:rPr>
          <w:rStyle w:val="17"/>
          <w:rFonts w:hint="eastAsia" w:ascii="仿宋" w:hAnsi="仿宋" w:eastAsia="仿宋"/>
          <w:bCs/>
          <w:color w:val="000000"/>
          <w:sz w:val="32"/>
          <w:szCs w:val="32"/>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2.10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p>
    <w:p>
      <w:pPr>
        <w:pStyle w:val="2"/>
        <w:numPr>
          <w:ilvl w:val="0"/>
          <w:numId w:val="3"/>
        </w:numPr>
        <w:ind w:left="0" w:leftChars="0" w:firstLine="642" w:firstLineChars="200"/>
        <w:rPr>
          <w:rFonts w:hint="eastAsia"/>
          <w:lang w:val="en-US" w:eastAsia="zh-CN"/>
        </w:rPr>
      </w:pPr>
      <w:r>
        <w:rPr>
          <w:rStyle w:val="17"/>
          <w:rFonts w:hint="eastAsia" w:ascii="仿宋" w:hAnsi="仿宋" w:eastAsia="仿宋"/>
          <w:bCs/>
          <w:color w:val="000000"/>
          <w:sz w:val="32"/>
          <w:szCs w:val="32"/>
          <w:lang w:val="en-US" w:eastAsia="zh-CN"/>
        </w:rPr>
        <w:t>社会保障和就业支出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行政事业单位养老支出</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val="en-US" w:eastAsia="zh-CN"/>
        </w:rPr>
        <w:t>机关事业单位职业年金缴费支出</w:t>
      </w:r>
      <w:r>
        <w:rPr>
          <w:rStyle w:val="17"/>
          <w:rFonts w:hint="eastAsia" w:ascii="仿宋" w:hAnsi="仿宋" w:eastAsia="仿宋"/>
          <w:bCs/>
          <w:color w:val="000000"/>
          <w:sz w:val="32"/>
          <w:szCs w:val="32"/>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p>
    <w:p>
      <w:pPr>
        <w:pStyle w:val="2"/>
        <w:numPr>
          <w:ilvl w:val="0"/>
          <w:numId w:val="3"/>
        </w:numPr>
        <w:ind w:left="0" w:leftChars="0" w:firstLine="642" w:firstLineChars="200"/>
        <w:rPr>
          <w:rFonts w:hint="eastAsia"/>
          <w:lang w:val="en-US" w:eastAsia="zh-CN"/>
        </w:rPr>
      </w:pPr>
      <w:r>
        <w:rPr>
          <w:rStyle w:val="17"/>
          <w:rFonts w:hint="eastAsia" w:ascii="仿宋" w:hAnsi="仿宋" w:eastAsia="仿宋"/>
          <w:bCs/>
          <w:color w:val="000000"/>
          <w:sz w:val="32"/>
          <w:szCs w:val="32"/>
          <w:lang w:val="en-US" w:eastAsia="zh-CN"/>
        </w:rPr>
        <w:t>社会保障和就业支出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抚恤</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val="en-US" w:eastAsia="zh-CN"/>
        </w:rPr>
        <w:t>死亡抚恤</w:t>
      </w:r>
      <w:r>
        <w:rPr>
          <w:rStyle w:val="17"/>
          <w:rFonts w:hint="eastAsia" w:ascii="仿宋" w:hAnsi="仿宋" w:eastAsia="仿宋"/>
          <w:bCs/>
          <w:color w:val="000000"/>
          <w:sz w:val="32"/>
          <w:szCs w:val="32"/>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28.24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p>
    <w:p>
      <w:pPr>
        <w:pStyle w:val="2"/>
        <w:numPr>
          <w:ilvl w:val="0"/>
          <w:numId w:val="3"/>
        </w:numPr>
        <w:ind w:left="0" w:leftChars="0" w:firstLine="642" w:firstLineChars="200"/>
        <w:rPr>
          <w:rFonts w:hint="eastAsia"/>
          <w:lang w:val="en-US" w:eastAsia="zh-CN"/>
        </w:rPr>
      </w:pPr>
      <w:r>
        <w:rPr>
          <w:rStyle w:val="17"/>
          <w:rFonts w:hint="eastAsia" w:ascii="仿宋" w:hAnsi="仿宋" w:eastAsia="仿宋"/>
          <w:bCs/>
          <w:color w:val="000000"/>
          <w:sz w:val="32"/>
          <w:szCs w:val="32"/>
          <w:lang w:val="en-US" w:eastAsia="zh-CN"/>
        </w:rPr>
        <w:t>资源勘探工业信息等支出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支持中小企业发展和管理支出</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val="en-US" w:eastAsia="zh-CN"/>
        </w:rPr>
        <w:t>中小企业发展专项</w:t>
      </w:r>
      <w:r>
        <w:rPr>
          <w:rStyle w:val="17"/>
          <w:rFonts w:hint="eastAsia" w:ascii="仿宋" w:hAnsi="仿宋" w:eastAsia="仿宋"/>
          <w:bCs/>
          <w:color w:val="000000"/>
          <w:sz w:val="32"/>
          <w:szCs w:val="32"/>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pPr>
        <w:tabs>
          <w:tab w:val="right" w:pos="8306"/>
        </w:tabs>
        <w:spacing w:line="600" w:lineRule="exact"/>
        <w:ind w:firstLine="640"/>
        <w:outlineLvl w:val="1"/>
        <w:rPr>
          <w:rStyle w:val="21"/>
          <w:color w:val="auto"/>
          <w:highlight w:val="none"/>
        </w:rPr>
      </w:pPr>
      <w:bookmarkStart w:id="28" w:name="_Toc15377214"/>
      <w:bookmarkStart w:id="2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28"/>
      <w:bookmarkEnd w:id="29"/>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618.80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财政拨款基本支出320.70万元，</w:t>
      </w:r>
      <w:r>
        <w:rPr>
          <w:rFonts w:hint="eastAsia" w:ascii="仿宋" w:hAnsi="仿宋" w:eastAsia="仿宋"/>
          <w:color w:val="auto"/>
          <w:sz w:val="32"/>
          <w:szCs w:val="32"/>
          <w:highlight w:val="none"/>
        </w:rPr>
        <w:t>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320.7</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pPr>
        <w:spacing w:line="600" w:lineRule="exact"/>
        <w:ind w:firstLine="640"/>
        <w:outlineLvl w:val="1"/>
        <w:rPr>
          <w:rStyle w:val="21"/>
          <w:rFonts w:ascii="黑体" w:hAnsi="黑体" w:eastAsia="黑体"/>
          <w:b w:val="0"/>
          <w:color w:val="auto"/>
          <w:highlight w:val="none"/>
        </w:rPr>
      </w:pPr>
      <w:bookmarkStart w:id="30" w:name="_Toc15377215"/>
      <w:bookmarkStart w:id="31" w:name="_Toc15396609"/>
      <w:r>
        <w:rPr>
          <w:rFonts w:hint="eastAsia" w:ascii="黑体"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30"/>
      <w:bookmarkEnd w:id="31"/>
    </w:p>
    <w:p>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pPr>
        <w:pStyle w:val="6"/>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与上年持平。</w:t>
      </w:r>
    </w:p>
    <w:p>
      <w:pPr>
        <w:spacing w:line="600" w:lineRule="exact"/>
        <w:ind w:firstLine="640"/>
        <w:outlineLvl w:val="2"/>
        <w:rPr>
          <w:rFonts w:ascii="仿宋" w:hAnsi="仿宋" w:eastAsia="仿宋"/>
          <w:b/>
          <w:color w:val="auto"/>
          <w:sz w:val="32"/>
          <w:szCs w:val="32"/>
          <w:highlight w:val="none"/>
        </w:rPr>
      </w:pPr>
      <w:bookmarkStart w:id="32" w:name="_Toc15377217"/>
      <w:r>
        <w:rPr>
          <w:rFonts w:hint="eastAsia" w:ascii="仿宋" w:hAnsi="仿宋" w:eastAsia="仿宋"/>
          <w:b/>
          <w:color w:val="auto"/>
          <w:sz w:val="32"/>
          <w:szCs w:val="32"/>
          <w:highlight w:val="none"/>
        </w:rPr>
        <w:t>“三公”经费财政拨款支出决算具体情况说明</w:t>
      </w:r>
      <w:bookmarkEnd w:id="32"/>
    </w:p>
    <w:p>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b/>
          <w:color w:val="auto"/>
          <w:sz w:val="32"/>
          <w:szCs w:val="32"/>
          <w:highlight w:val="none"/>
        </w:rPr>
      </w:pPr>
      <w:r>
        <w:rPr>
          <w:rFonts w:hint="eastAsia" w:ascii="仿宋_GB2312" w:eastAsia="仿宋_GB2312"/>
          <w:b/>
          <w:color w:val="auto"/>
          <w:sz w:val="32"/>
          <w:szCs w:val="32"/>
          <w:highlight w:val="none"/>
        </w:rPr>
        <w:t>公务用车购置及运行维护费支出</w:t>
      </w:r>
      <w:r>
        <w:rPr>
          <w:rFonts w:hint="eastAsia" w:ascii="仿宋_GB2312" w:hAnsi="Times New Roman" w:eastAsia="仿宋_GB2312" w:cs="Times New Roman"/>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hint="default" w:ascii="仿宋_GB2312" w:eastAsia="仿宋_GB2312"/>
          <w:color w:val="auto"/>
          <w:sz w:val="32"/>
          <w:szCs w:val="32"/>
          <w:highlight w:val="none"/>
          <w:lang w:val="en-US" w:eastAsia="zh-CN"/>
        </w:rPr>
      </w:pPr>
      <w:r>
        <w:rPr>
          <w:rFonts w:hint="eastAsia" w:ascii="仿宋_GB2312" w:eastAsia="仿宋_GB2312"/>
          <w:b/>
          <w:color w:val="000000"/>
          <w:sz w:val="32"/>
          <w:szCs w:val="32"/>
          <w:lang w:val="en-US" w:eastAsia="zh-CN"/>
        </w:rPr>
        <w:t>2023年</w:t>
      </w: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比2022年公务用车减少</w:t>
      </w:r>
      <w:r>
        <w:rPr>
          <w:rFonts w:hint="eastAsia" w:ascii="仿宋_GB2312" w:eastAsia="仿宋_GB2312"/>
          <w:b/>
          <w:color w:val="000000"/>
          <w:sz w:val="32"/>
          <w:szCs w:val="32"/>
          <w:lang w:val="en-US" w:eastAsia="zh-CN"/>
        </w:rPr>
        <w:t>20.30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下降100%；</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厉行节约压缩</w:t>
      </w:r>
      <w:r>
        <w:rPr>
          <w:rFonts w:hint="eastAsia" w:ascii="仿宋" w:hAnsi="仿宋" w:eastAsia="仿宋"/>
          <w:color w:val="auto"/>
          <w:sz w:val="32"/>
          <w:szCs w:val="32"/>
          <w:highlight w:val="none"/>
          <w:lang w:val="en-US" w:eastAsia="zh-CN"/>
        </w:rPr>
        <w:t>公务用车维护</w:t>
      </w:r>
      <w:r>
        <w:rPr>
          <w:rFonts w:hint="eastAsia" w:ascii="仿宋" w:hAnsi="仿宋" w:eastAsia="仿宋"/>
          <w:color w:val="auto"/>
          <w:sz w:val="32"/>
          <w:szCs w:val="32"/>
          <w:highlight w:val="none"/>
          <w:lang w:eastAsia="zh-CN"/>
        </w:rPr>
        <w:t>经费</w:t>
      </w:r>
      <w:r>
        <w:rPr>
          <w:rFonts w:hint="eastAsia" w:ascii="仿宋" w:hAnsi="仿宋" w:eastAsia="仿宋"/>
          <w:color w:val="auto"/>
          <w:sz w:val="32"/>
          <w:szCs w:val="32"/>
          <w:highlight w:val="none"/>
          <w:lang w:val="en-US" w:eastAsia="zh-CN"/>
        </w:rPr>
        <w:t>.</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2023年</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与上年减少1.94万元，下降100%</w:t>
      </w:r>
      <w:r>
        <w:rPr>
          <w:rFonts w:hint="eastAsia" w:ascii="仿宋_GB2312" w:eastAsia="仿宋_GB2312"/>
          <w:color w:val="auto"/>
          <w:sz w:val="32"/>
          <w:szCs w:val="32"/>
          <w:highlight w:val="none"/>
        </w:rPr>
        <w:t>。其中：</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厉行节约压缩经费</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eastAsia="zh-CN"/>
        </w:rPr>
        <w:t>。</w:t>
      </w:r>
    </w:p>
    <w:p>
      <w:pPr>
        <w:spacing w:line="600" w:lineRule="exact"/>
        <w:ind w:firstLine="64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_GB2312" w:hAnsi="Times New Roman" w:eastAsia="仿宋_GB2312" w:cs="Times New Roman"/>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21"/>
          <w:rFonts w:ascii="黑体" w:hAnsi="黑体" w:eastAsia="黑体"/>
          <w:color w:val="auto"/>
          <w:highlight w:val="none"/>
        </w:rPr>
      </w:pPr>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21"/>
          <w:rFonts w:ascii="黑体" w:hAnsi="黑体" w:eastAsia="黑体"/>
          <w:b w:val="0"/>
          <w:color w:val="auto"/>
          <w:highlight w:val="none"/>
        </w:rPr>
      </w:pPr>
      <w:bookmarkStart w:id="33" w:name="_Toc15396611"/>
      <w:bookmarkStart w:id="34" w:name="_Toc15377219"/>
      <w:r>
        <w:rPr>
          <w:rStyle w:val="21"/>
          <w:rFonts w:hint="eastAsia" w:ascii="黑体" w:hAnsi="黑体" w:eastAsia="黑体"/>
          <w:b w:val="0"/>
          <w:color w:val="auto"/>
          <w:highlight w:val="none"/>
        </w:rPr>
        <w:t>国有资本经营预算支出决算情况说明</w:t>
      </w:r>
      <w:bookmarkEnd w:id="33"/>
      <w:bookmarkEnd w:id="34"/>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拨款支出万元。</w:t>
      </w:r>
    </w:p>
    <w:p>
      <w:pPr>
        <w:numPr>
          <w:ilvl w:val="0"/>
          <w:numId w:val="4"/>
        </w:numPr>
        <w:spacing w:line="600" w:lineRule="exact"/>
        <w:ind w:firstLine="640"/>
        <w:outlineLvl w:val="1"/>
        <w:rPr>
          <w:rStyle w:val="21"/>
          <w:rFonts w:hint="eastAsia" w:ascii="黑体" w:hAnsi="黑体" w:eastAsia="黑体"/>
          <w:b w:val="0"/>
          <w:color w:val="auto"/>
          <w:highlight w:val="none"/>
        </w:rPr>
      </w:pPr>
      <w:bookmarkStart w:id="35" w:name="_Toc15396612"/>
      <w:bookmarkStart w:id="36" w:name="_Toc15377221"/>
      <w:r>
        <w:rPr>
          <w:rStyle w:val="21"/>
          <w:rFonts w:hint="eastAsia" w:ascii="黑体" w:hAnsi="黑体" w:eastAsia="黑体"/>
          <w:b w:val="0"/>
          <w:color w:val="auto"/>
          <w:highlight w:val="none"/>
        </w:rPr>
        <w:t>其他重要事项的情况说明</w:t>
      </w:r>
      <w:bookmarkEnd w:id="35"/>
      <w:bookmarkEnd w:id="36"/>
    </w:p>
    <w:p>
      <w:pPr>
        <w:spacing w:line="600" w:lineRule="exact"/>
        <w:ind w:firstLine="642" w:firstLineChars="200"/>
        <w:outlineLvl w:val="2"/>
        <w:rPr>
          <w:rFonts w:ascii="仿宋" w:hAnsi="仿宋" w:eastAsia="仿宋"/>
          <w:color w:val="auto"/>
          <w:sz w:val="32"/>
          <w:szCs w:val="32"/>
          <w:highlight w:val="none"/>
        </w:rPr>
      </w:pPr>
      <w:bookmarkStart w:id="37" w:name="_Toc15377222"/>
      <w:r>
        <w:rPr>
          <w:rFonts w:hint="eastAsia" w:ascii="仿宋" w:hAnsi="仿宋" w:eastAsia="仿宋"/>
          <w:b/>
          <w:color w:val="auto"/>
          <w:sz w:val="32"/>
          <w:szCs w:val="32"/>
          <w:highlight w:val="none"/>
        </w:rPr>
        <w:t>（一）机关运行经费支出情况</w:t>
      </w:r>
      <w:bookmarkEnd w:id="37"/>
    </w:p>
    <w:p>
      <w:pPr>
        <w:spacing w:line="600" w:lineRule="exact"/>
        <w:ind w:firstLine="640" w:firstLineChars="200"/>
        <w:rPr>
          <w:rFonts w:hint="eastAsia"/>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市场监督管理</w:t>
      </w:r>
      <w:r>
        <w:rPr>
          <w:rFonts w:hint="eastAsia" w:ascii="仿宋_GB2312" w:eastAsia="仿宋_GB2312"/>
          <w:color w:val="auto"/>
          <w:sz w:val="32"/>
          <w:szCs w:val="32"/>
          <w:highlight w:val="none"/>
          <w:lang w:val="en-US" w:eastAsia="zh-CN"/>
        </w:rPr>
        <w:t>局</w:t>
      </w:r>
      <w:r>
        <w:rPr>
          <w:rFonts w:hint="eastAsia" w:ascii="仿宋_GB2312" w:eastAsia="仿宋_GB2312"/>
          <w:color w:val="auto"/>
          <w:sz w:val="32"/>
          <w:szCs w:val="32"/>
          <w:highlight w:val="none"/>
        </w:rPr>
        <w:t>机关运行经费支出</w:t>
      </w:r>
      <w:r>
        <w:rPr>
          <w:rFonts w:hint="eastAsia" w:ascii="仿宋" w:hAnsi="仿宋" w:eastAsia="仿宋"/>
          <w:color w:val="auto"/>
          <w:sz w:val="32"/>
          <w:szCs w:val="32"/>
          <w:highlight w:val="none"/>
          <w:lang w:val="en-US" w:eastAsia="zh-CN"/>
        </w:rPr>
        <w:t>320.70万元</w:t>
      </w:r>
      <w:r>
        <w:rPr>
          <w:rFonts w:hint="eastAsia" w:ascii="仿宋_GB2312" w:eastAsia="仿宋_GB2312"/>
          <w:color w:val="auto"/>
          <w:sz w:val="32"/>
          <w:szCs w:val="32"/>
          <w:highlight w:val="none"/>
        </w:rPr>
        <w:t>，比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205.59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64.10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印刷费增加</w:t>
      </w:r>
      <w:r>
        <w:rPr>
          <w:rFonts w:hint="eastAsia" w:ascii="仿宋_GB2312" w:eastAsia="仿宋_GB2312"/>
          <w:color w:val="auto"/>
          <w:sz w:val="32"/>
          <w:szCs w:val="32"/>
          <w:highlight w:val="none"/>
          <w:lang w:val="en-US" w:eastAsia="zh-CN"/>
        </w:rPr>
        <w:t>。</w:t>
      </w:r>
    </w:p>
    <w:p>
      <w:pPr>
        <w:spacing w:line="600" w:lineRule="exact"/>
        <w:ind w:firstLine="642"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38" w:name="_Toc15377223"/>
      <w:r>
        <w:rPr>
          <w:rFonts w:hint="eastAsia" w:ascii="仿宋" w:hAnsi="仿宋" w:eastAsia="仿宋"/>
          <w:b/>
          <w:color w:val="auto"/>
          <w:sz w:val="32"/>
          <w:szCs w:val="32"/>
          <w:highlight w:val="none"/>
        </w:rPr>
        <w:t>（二）政府采购支出情况</w:t>
      </w:r>
      <w:bookmarkEnd w:id="38"/>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市场监督管理</w:t>
      </w:r>
      <w:r>
        <w:rPr>
          <w:rFonts w:hint="eastAsia" w:ascii="仿宋_GB2312" w:eastAsia="仿宋_GB2312"/>
          <w:color w:val="auto"/>
          <w:sz w:val="32"/>
          <w:szCs w:val="32"/>
          <w:highlight w:val="none"/>
          <w:lang w:val="en-US" w:eastAsia="zh-CN"/>
        </w:rPr>
        <w:t>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2"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39" w:name="_Toc15377224"/>
      <w:r>
        <w:rPr>
          <w:rFonts w:hint="eastAsia" w:ascii="仿宋" w:hAnsi="仿宋" w:eastAsia="仿宋"/>
          <w:b/>
          <w:color w:val="auto"/>
          <w:sz w:val="32"/>
          <w:szCs w:val="32"/>
          <w:highlight w:val="none"/>
        </w:rPr>
        <w:t>（三）国有资产占有使用情况</w:t>
      </w:r>
      <w:bookmarkEnd w:id="39"/>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市场监督管理</w:t>
      </w:r>
      <w:r>
        <w:rPr>
          <w:rFonts w:hint="eastAsia" w:ascii="仿宋_GB2312" w:eastAsia="仿宋_GB2312"/>
          <w:color w:val="auto"/>
          <w:sz w:val="32"/>
          <w:szCs w:val="32"/>
          <w:highlight w:val="none"/>
          <w:lang w:val="en-US" w:eastAsia="zh-CN"/>
        </w:rPr>
        <w:t>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2"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决算报表填报数据罗列车辆情况。）</w:t>
      </w:r>
    </w:p>
    <w:p>
      <w:pPr>
        <w:autoSpaceDE w:val="0"/>
        <w:autoSpaceDN w:val="0"/>
        <w:adjustRightInd w:val="0"/>
        <w:spacing w:line="600" w:lineRule="exact"/>
        <w:ind w:firstLine="642"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6"/>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w:t>
      </w:r>
      <w:r>
        <w:rPr>
          <w:rFonts w:hint="eastAsia" w:hAnsi="仿宋_GB2312" w:cs="仿宋_GB2312"/>
          <w:color w:val="auto"/>
          <w:sz w:val="32"/>
          <w:szCs w:val="32"/>
          <w:highlight w:val="none"/>
          <w:lang w:val="en-US" w:eastAsia="zh-CN"/>
        </w:rPr>
        <w:t>部门</w:t>
      </w:r>
      <w:r>
        <w:rPr>
          <w:rFonts w:hint="eastAsia" w:ascii="仿宋_GB2312" w:hAnsi="仿宋_GB2312" w:eastAsia="仿宋_GB2312" w:cs="仿宋_GB2312"/>
          <w:color w:val="auto"/>
          <w:sz w:val="32"/>
          <w:szCs w:val="32"/>
          <w:highlight w:val="none"/>
        </w:rPr>
        <w:t>在20</w:t>
      </w:r>
      <w:r>
        <w:rPr>
          <w:rFonts w:hint="eastAsia" w:hAnsi="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51090824T000010059302-市场监管所“两化”建设</w:t>
      </w:r>
      <w:r>
        <w:rPr>
          <w:rFonts w:hint="eastAsia" w:ascii="仿宋_GB2312" w:hAnsi="仿宋_GB2312" w:eastAsia="仿宋_GB2312" w:cs="仿宋_GB2312"/>
          <w:color w:val="auto"/>
          <w:sz w:val="32"/>
          <w:szCs w:val="32"/>
          <w:highlight w:val="none"/>
        </w:rPr>
        <w:t>开展了预算事前绩效评估，对</w:t>
      </w:r>
      <w:r>
        <w:rPr>
          <w:rFonts w:hint="eastAsia" w:hAnsi="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个项目开展绩效监控</w:t>
      </w:r>
      <w:r>
        <w:rPr>
          <w:rFonts w:hint="eastAsia" w:hAnsi="仿宋_GB2312" w:cs="仿宋_GB2312"/>
          <w:color w:val="auto"/>
          <w:sz w:val="32"/>
          <w:szCs w:val="32"/>
          <w:highlight w:val="none"/>
          <w:lang w:eastAsia="zh-CN"/>
        </w:rPr>
        <w:t>。</w:t>
      </w:r>
    </w:p>
    <w:p>
      <w:pPr>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2023年度一般公共预算全面开展绩效自评，形成</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其中，部门整体绩效自评得分为</w:t>
      </w:r>
      <w:r>
        <w:rPr>
          <w:rFonts w:hint="eastAsia" w:ascii="仿宋_GB2312" w:hAnsi="仿宋_GB2312" w:eastAsia="仿宋_GB2312" w:cs="仿宋_GB2312"/>
          <w:b w:val="0"/>
          <w:bCs w:val="0"/>
          <w:kern w:val="2"/>
          <w:sz w:val="32"/>
          <w:szCs w:val="32"/>
          <w:lang w:val="en-US" w:eastAsia="zh-CN" w:bidi="ar-SA"/>
        </w:rPr>
        <w:t>86</w:t>
      </w:r>
      <w:r>
        <w:rPr>
          <w:rFonts w:hint="eastAsia" w:ascii="仿宋_GB2312" w:hAnsi="仿宋_GB2312" w:eastAsia="仿宋_GB2312" w:cs="仿宋_GB2312"/>
          <w:color w:val="auto"/>
          <w:sz w:val="32"/>
          <w:szCs w:val="32"/>
          <w:highlight w:val="none"/>
          <w:lang w:val="en-US" w:eastAsia="zh-CN"/>
        </w:rPr>
        <w:t>分，绩效自评综述：</w:t>
      </w:r>
      <w:r>
        <w:rPr>
          <w:rFonts w:hint="eastAsia" w:ascii="仿宋_GB2312" w:hAnsi="仿宋_GB2312" w:eastAsia="仿宋_GB2312" w:cs="仿宋_GB2312"/>
          <w:b w:val="0"/>
          <w:bCs w:val="0"/>
          <w:kern w:val="2"/>
          <w:sz w:val="32"/>
          <w:szCs w:val="32"/>
          <w:lang w:val="en-US" w:eastAsia="zh-CN" w:bidi="ar-SA"/>
        </w:rPr>
        <w:t>2023年度，本部门绩效目标编制完整、细化量化；年度类涉及执行14个项目，共计14项数量指标，绩效目标完成率100%；年度内开展了14个项目的绩效运行监控，但未对项目进行预算调整。2023年，我局积极履职，强化管理，较好的完成了年度工作目标。通过加强预算收支管理，不断建立健全内部管理制度，梳理内部管理流程，部门整体支出管理水平得到提升。</w:t>
      </w:r>
      <w:r>
        <w:rPr>
          <w:rFonts w:hint="eastAsia" w:ascii="仿宋_GB2312" w:hAnsi="仿宋_GB2312" w:eastAsia="仿宋_GB2312" w:cs="仿宋_GB2312"/>
          <w:color w:val="auto"/>
          <w:sz w:val="32"/>
          <w:szCs w:val="32"/>
          <w:highlight w:val="none"/>
          <w:lang w:val="en-US" w:eastAsia="zh-CN"/>
        </w:rPr>
        <w:t>绩效自评报告详见附件。</w:t>
      </w:r>
    </w:p>
    <w:p>
      <w:pPr>
        <w:pStyle w:val="6"/>
        <w:ind w:firstLine="640" w:firstLineChars="200"/>
        <w:rPr>
          <w:rFonts w:hint="eastAsia" w:ascii="仿宋_GB2312" w:hAnsi="仿宋_GB2312" w:eastAsia="仿宋_GB2312" w:cs="仿宋_GB2312"/>
          <w:color w:val="auto"/>
          <w:sz w:val="32"/>
          <w:szCs w:val="32"/>
          <w:highlight w:val="none"/>
        </w:rPr>
      </w:pPr>
    </w:p>
    <w:p>
      <w:pPr>
        <w:pStyle w:val="6"/>
        <w:ind w:firstLine="640" w:firstLineChars="200"/>
        <w:rPr>
          <w:rFonts w:hint="eastAsia" w:ascii="仿宋_GB2312" w:hAnsi="仿宋_GB2312" w:eastAsia="仿宋_GB2312" w:cs="仿宋_GB2312"/>
          <w:color w:val="auto"/>
          <w:sz w:val="32"/>
          <w:szCs w:val="32"/>
          <w:highlight w:val="none"/>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5"/>
        </w:numPr>
        <w:spacing w:line="600" w:lineRule="exact"/>
        <w:ind w:firstLine="660" w:firstLineChars="150"/>
        <w:jc w:val="center"/>
        <w:outlineLvl w:val="0"/>
        <w:rPr>
          <w:rStyle w:val="20"/>
          <w:rFonts w:ascii="黑体" w:hAnsi="黑体" w:eastAsia="黑体"/>
          <w:b w:val="0"/>
          <w:color w:val="auto"/>
          <w:highlight w:val="none"/>
        </w:rPr>
      </w:pPr>
      <w:bookmarkStart w:id="40" w:name="_Toc15396613"/>
      <w:bookmarkStart w:id="41" w:name="_Toc15377225"/>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40"/>
      <w:bookmarkEnd w:id="41"/>
    </w:p>
    <w:p>
      <w:pPr>
        <w:spacing w:line="600" w:lineRule="exact"/>
        <w:jc w:val="left"/>
        <w:rPr>
          <w:rFonts w:ascii="宋体"/>
          <w:b/>
          <w:color w:val="auto"/>
          <w:sz w:val="44"/>
          <w:szCs w:val="44"/>
          <w:highlight w:val="none"/>
        </w:rPr>
      </w:pP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反映行政单位（包括实行公务员管理的事业单位）的基本支出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一般行政管理事务</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反映行政单位（包括实行公务员管理的事业单位）未单独设置项级科目的其他项目支出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市场主体管理</w:t>
      </w:r>
      <w:r>
        <w:rPr>
          <w:rFonts w:hint="eastAsia" w:ascii="仿宋_GB2312" w:eastAsia="仿宋_GB2312"/>
          <w:color w:val="000000"/>
          <w:sz w:val="32"/>
          <w:szCs w:val="32"/>
        </w:rPr>
        <w:t>（项）：反映市场准入、许可审批、信用监管等市场主体管理专项工作支出。</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市场秩序执法</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反映反垄断、价格监督、反不正当竞争、规范直销与打击传销、网络交易监管、广告监管、消费者权益保护、综合执法等市场秩序执法专项工作支出</w:t>
      </w:r>
      <w:r>
        <w:rPr>
          <w:rFonts w:hint="eastAsia" w:ascii="仿宋_GB2312" w:eastAsia="仿宋_GB2312"/>
          <w:color w:val="000000"/>
          <w:sz w:val="32"/>
          <w:szCs w:val="32"/>
        </w:rPr>
        <w:t>。</w:t>
      </w:r>
    </w:p>
    <w:p>
      <w:pPr>
        <w:pStyle w:val="2"/>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质量基础</w:t>
      </w:r>
      <w:r>
        <w:rPr>
          <w:rFonts w:hint="eastAsia" w:ascii="仿宋_GB2312" w:eastAsia="仿宋_GB2312"/>
          <w:color w:val="000000"/>
          <w:sz w:val="32"/>
          <w:szCs w:val="32"/>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反映计量、标准、认证认可、检验检测等质量基础专项工作支出。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药品事务</w:t>
      </w:r>
      <w:r>
        <w:rPr>
          <w:rFonts w:hint="eastAsia" w:ascii="仿宋_GB2312" w:eastAsia="仿宋_GB2312"/>
          <w:color w:val="000000"/>
          <w:sz w:val="32"/>
          <w:szCs w:val="32"/>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反映用于药品（含中药、民族药）监督管理方面的支出。</w:t>
      </w:r>
    </w:p>
    <w:p>
      <w:pPr>
        <w:pStyle w:val="2"/>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食品安全监管</w:t>
      </w:r>
      <w:r>
        <w:rPr>
          <w:rFonts w:hint="eastAsia" w:ascii="仿宋_GB2312" w:eastAsia="仿宋_GB2312"/>
          <w:color w:val="000000"/>
          <w:sz w:val="32"/>
          <w:szCs w:val="32"/>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反映产品质量安全监管、特种设备安全监管等质量监管专项工作支出。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市场监督管理事务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其他市场监督管理事务</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：反应用于除以上述项目以外其他市场监督管理事务方面的支出。</w:t>
      </w:r>
    </w:p>
    <w:p>
      <w:pPr>
        <w:numPr>
          <w:ilvl w:val="0"/>
          <w:numId w:val="0"/>
        </w:numPr>
        <w:ind w:leftChars="200" w:firstLine="320" w:firstLineChars="100"/>
        <w:jc w:val="left"/>
        <w:rPr>
          <w:rStyle w:val="17"/>
          <w:rFonts w:hint="eastAsia" w:ascii="仿宋" w:hAnsi="仿宋" w:eastAsia="仿宋_GB2312"/>
          <w:b w:val="0"/>
          <w:bCs/>
          <w:color w:val="auto"/>
          <w:sz w:val="32"/>
          <w:szCs w:val="32"/>
          <w:highlight w:val="none"/>
          <w:lang w:eastAsia="zh-CN"/>
        </w:rPr>
      </w:pPr>
      <w:r>
        <w:rPr>
          <w:rFonts w:hint="eastAsia" w:ascii="仿宋_GB2312" w:eastAsia="仿宋_GB2312"/>
          <w:color w:val="000000"/>
          <w:sz w:val="32"/>
          <w:szCs w:val="32"/>
          <w:lang w:val="en-US" w:eastAsia="zh-CN"/>
        </w:rPr>
        <w:t>17.社会保障和就业支出（类）行政事业单位养老支出（款）行政单位离退休（项）:</w:t>
      </w:r>
      <w:r>
        <w:rPr>
          <w:rStyle w:val="17"/>
          <w:rFonts w:hint="eastAsia" w:ascii="仿宋" w:hAnsi="仿宋" w:eastAsia="仿宋"/>
          <w:b w:val="0"/>
          <w:bCs/>
          <w:color w:val="auto"/>
          <w:sz w:val="32"/>
          <w:szCs w:val="32"/>
          <w:highlight w:val="none"/>
          <w:lang w:eastAsia="zh-CN"/>
        </w:rPr>
        <w:t>反应行政单位（包括实行公务员管理的事业单位）开支的离退休经费。</w:t>
      </w:r>
    </w:p>
    <w:p>
      <w:pPr>
        <w:pStyle w:val="2"/>
        <w:numPr>
          <w:ilvl w:val="0"/>
          <w:numId w:val="0"/>
        </w:numPr>
        <w:ind w:leftChars="200" w:firstLine="320" w:firstLineChars="100"/>
        <w:rPr>
          <w:rFonts w:hint="eastAsia"/>
          <w:lang w:val="en-US" w:eastAsia="zh-CN"/>
        </w:rPr>
      </w:pPr>
      <w:r>
        <w:rPr>
          <w:rFonts w:hint="eastAsia" w:ascii="仿宋_GB2312" w:hAnsi="Times New Roman" w:eastAsia="仿宋_GB2312" w:cs="Times New Roman"/>
          <w:color w:val="000000"/>
          <w:kern w:val="2"/>
          <w:sz w:val="32"/>
          <w:szCs w:val="32"/>
          <w:lang w:val="en-US" w:eastAsia="zh-CN" w:bidi="ar-SA"/>
        </w:rPr>
        <w:t>18.社会保障和就业支出（类）行政事业单位养老支出（款）事业单位离退休（项）:</w:t>
      </w:r>
      <w:r>
        <w:rPr>
          <w:rFonts w:hint="eastAsia" w:ascii="仿宋_GB2312" w:eastAsia="仿宋_GB2312" w:cs="Times New Roman"/>
          <w:color w:val="000000"/>
          <w:kern w:val="2"/>
          <w:sz w:val="32"/>
          <w:szCs w:val="32"/>
          <w:lang w:val="en-US" w:eastAsia="zh-CN" w:bidi="ar-SA"/>
        </w:rPr>
        <w:t>反应事业单位开支的离退休经费。</w:t>
      </w:r>
    </w:p>
    <w:p>
      <w:pPr>
        <w:pStyle w:val="2"/>
        <w:numPr>
          <w:ilvl w:val="0"/>
          <w:numId w:val="0"/>
        </w:numPr>
        <w:ind w:firstLine="640" w:firstLineChars="200"/>
        <w:rPr>
          <w:rFonts w:hint="eastAsia" w:ascii="仿宋_GB2312"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19.社会保障和就业支出（类）行政事业单位养老支出（款）机关事业单位职业年金缴费支出（项）:</w:t>
      </w:r>
      <w:r>
        <w:rPr>
          <w:rFonts w:hint="eastAsia" w:ascii="仿宋_GB2312" w:eastAsia="仿宋_GB2312" w:cs="Times New Roman"/>
          <w:color w:val="000000"/>
          <w:kern w:val="2"/>
          <w:sz w:val="32"/>
          <w:szCs w:val="32"/>
          <w:lang w:val="en-US" w:eastAsia="zh-CN" w:bidi="ar-SA"/>
        </w:rPr>
        <w:t>反应机构事业单位实施养老保险制度由单位实际缴纳的职业年金记账利息的补助。</w:t>
      </w:r>
    </w:p>
    <w:p>
      <w:pPr>
        <w:pStyle w:val="2"/>
        <w:numPr>
          <w:ilvl w:val="0"/>
          <w:numId w:val="0"/>
        </w:num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20.社会保障和就业支出（类）抚恤（款）死亡抚恤（项）:</w:t>
      </w:r>
      <w:r>
        <w:rPr>
          <w:rFonts w:hint="eastAsia" w:ascii="仿宋_GB2312" w:eastAsia="仿宋_GB2312" w:cs="Times New Roman"/>
          <w:color w:val="000000"/>
          <w:kern w:val="2"/>
          <w:sz w:val="32"/>
          <w:szCs w:val="32"/>
          <w:lang w:val="en-US" w:eastAsia="zh-CN" w:bidi="ar-SA"/>
        </w:rPr>
        <w:t>反应按规定用于烈士和牺牲、病故人员家属的一次性和定期抚恤金以及丧葬补助费。</w:t>
      </w:r>
    </w:p>
    <w:p>
      <w:pPr>
        <w:pStyle w:val="2"/>
        <w:numPr>
          <w:ilvl w:val="0"/>
          <w:numId w:val="0"/>
        </w:numPr>
        <w:spacing w:line="240" w:lineRule="auto"/>
        <w:ind w:left="0" w:leftChars="0"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21.资源勘探工业信息等支出（类）支持中小企业发展和管理支出（款）中小企业发展专项（项）:</w:t>
      </w:r>
      <w:r>
        <w:rPr>
          <w:rFonts w:hint="eastAsia" w:ascii="仿宋_GB2312" w:eastAsia="仿宋_GB2312" w:cs="Times New Roman"/>
          <w:color w:val="000000"/>
          <w:kern w:val="2"/>
          <w:sz w:val="32"/>
          <w:szCs w:val="32"/>
          <w:lang w:val="en-US" w:eastAsia="zh-CN" w:bidi="ar-SA"/>
        </w:rPr>
        <w:t>反应用于支持中小企业公共服务体系和融资服务体系建设等方面的支出。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1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宋体"/>
          <w:b/>
          <w:color w:val="auto"/>
          <w:sz w:val="44"/>
          <w:szCs w:val="44"/>
          <w:highlight w:val="none"/>
        </w:rPr>
      </w:pPr>
      <w:r>
        <w:rPr>
          <w:rFonts w:ascii="宋体"/>
          <w:b/>
          <w:color w:val="auto"/>
          <w:sz w:val="44"/>
          <w:szCs w:val="44"/>
          <w:highlight w:val="none"/>
        </w:rPr>
        <w:br w:type="page"/>
      </w:r>
      <w:bookmarkStart w:id="42" w:name="_Toc15396614"/>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ascii="宋体"/>
          <w:b/>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0"/>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四部分 附件</w:t>
      </w:r>
      <w:bookmarkEnd w:id="42"/>
    </w:p>
    <w:p>
      <w:pPr>
        <w:pStyle w:val="2"/>
        <w:rPr>
          <w:rStyle w:val="20"/>
          <w:rFonts w:hint="eastAsia" w:ascii="黑体" w:hAnsi="黑体" w:eastAsia="黑体"/>
          <w:b w:val="0"/>
          <w:color w:val="auto"/>
          <w:highlight w:val="none"/>
        </w:rPr>
      </w:pPr>
    </w:p>
    <w:p>
      <w:pPr>
        <w:rPr>
          <w:rFonts w:hint="eastAsia"/>
        </w:rPr>
      </w:pPr>
    </w:p>
    <w:p>
      <w:pPr>
        <w:rPr>
          <w:rFonts w:hint="eastAsia" w:ascii="仿宋" w:hAnsi="仿宋" w:eastAsia="仿宋"/>
          <w:color w:val="auto"/>
          <w:sz w:val="32"/>
          <w:szCs w:val="32"/>
          <w:highlight w:val="none"/>
          <w:lang w:val="en-US" w:eastAsia="zh-CN"/>
        </w:rPr>
      </w:pPr>
    </w:p>
    <w:p>
      <w:pPr>
        <w:rPr>
          <w:rFonts w:hint="eastAsia" w:ascii="仿宋" w:hAnsi="仿宋" w:eastAsia="仿宋"/>
          <w:color w:val="auto"/>
          <w:sz w:val="32"/>
          <w:szCs w:val="32"/>
          <w:highlight w:val="none"/>
          <w:lang w:val="en-US" w:eastAsia="zh-CN"/>
        </w:rPr>
      </w:pPr>
    </w:p>
    <w:p>
      <w:pPr>
        <w:rPr>
          <w:rFonts w:hint="eastAsia" w:ascii="仿宋" w:hAnsi="仿宋" w:eastAsia="仿宋"/>
          <w:color w:val="auto"/>
          <w:sz w:val="32"/>
          <w:szCs w:val="32"/>
          <w:highlight w:val="none"/>
          <w:lang w:val="en-US" w:eastAsia="zh-CN"/>
        </w:rPr>
      </w:pPr>
    </w:p>
    <w:p>
      <w:pPr>
        <w:rPr>
          <w:rFonts w:hint="eastAsia" w:ascii="仿宋" w:hAnsi="仿宋" w:eastAsia="仿宋"/>
          <w:color w:val="auto"/>
          <w:sz w:val="32"/>
          <w:szCs w:val="32"/>
          <w:highlight w:val="none"/>
          <w:lang w:val="en-US" w:eastAsia="zh-CN"/>
        </w:rPr>
      </w:pPr>
    </w:p>
    <w:p>
      <w:pPr>
        <w:rPr>
          <w:rFonts w:hint="eastAsia" w:ascii="仿宋" w:hAnsi="仿宋" w:eastAsia="仿宋"/>
          <w:color w:val="auto"/>
          <w:sz w:val="32"/>
          <w:szCs w:val="32"/>
          <w:highlight w:val="none"/>
          <w:lang w:val="en-US" w:eastAsia="zh-CN"/>
        </w:rPr>
      </w:pPr>
    </w:p>
    <w:p>
      <w:pPr>
        <w:rPr>
          <w:rFonts w:hint="eastAsia" w:ascii="仿宋" w:hAnsi="仿宋" w:eastAsia="仿宋"/>
          <w:color w:val="auto"/>
          <w:sz w:val="32"/>
          <w:szCs w:val="32"/>
          <w:highlight w:val="none"/>
          <w:lang w:val="en-US" w:eastAsia="zh-CN"/>
        </w:rPr>
      </w:pPr>
    </w:p>
    <w:p>
      <w:pPr>
        <w:rPr>
          <w:rFonts w:hint="eastAsia" w:ascii="仿宋" w:hAnsi="仿宋" w:eastAsia="仿宋"/>
          <w:color w:val="auto"/>
          <w:sz w:val="32"/>
          <w:szCs w:val="32"/>
          <w:highlight w:val="none"/>
          <w:lang w:val="en-US" w:eastAsia="zh-CN"/>
        </w:rPr>
      </w:pPr>
    </w:p>
    <w:p>
      <w:pPr>
        <w:pStyle w:val="2"/>
        <w:ind w:left="0" w:leftChars="0" w:firstLine="0" w:firstLineChars="0"/>
        <w:rPr>
          <w:rFonts w:hint="eastAsia" w:ascii="仿宋" w:hAnsi="仿宋" w:eastAsia="仿宋"/>
          <w:color w:val="auto"/>
          <w:sz w:val="32"/>
          <w:szCs w:val="32"/>
          <w:highlight w:val="none"/>
          <w:lang w:val="en-US" w:eastAsia="zh-CN"/>
        </w:rPr>
      </w:pPr>
    </w:p>
    <w:p>
      <w:pPr>
        <w:tabs>
          <w:tab w:val="left" w:pos="2250"/>
        </w:tabs>
        <w:spacing w:line="560" w:lineRule="exact"/>
        <w:jc w:val="center"/>
        <w:rPr>
          <w:rFonts w:ascii="仿宋_GB2312" w:eastAsia="仿宋_GB2312"/>
          <w:color w:val="FF0000"/>
          <w:sz w:val="32"/>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遂开市监发〔2024〕21号</w:t>
      </w:r>
    </w:p>
    <w:p>
      <w:pPr>
        <w:spacing w:line="380" w:lineRule="exact"/>
        <w:rPr>
          <w:rFonts w:hint="eastAsia" w:ascii="方正小标宋简体" w:hAnsi="方正小标宋简体" w:eastAsia="方正小标宋简体" w:cs="方正小标宋简体"/>
          <w:color w:val="000000"/>
          <w:kern w:val="0"/>
          <w:sz w:val="44"/>
          <w:szCs w:val="44"/>
        </w:rPr>
      </w:pPr>
    </w:p>
    <w:p>
      <w:pPr>
        <w:spacing w:line="560" w:lineRule="exact"/>
        <w:jc w:val="center"/>
        <w:rPr>
          <w:rFonts w:hint="eastAsia" w:ascii="方正小标宋简体" w:eastAsia="方正小标宋简体"/>
          <w:bCs/>
          <w:sz w:val="44"/>
          <w:szCs w:val="44"/>
          <w:shd w:val="clear" w:color="auto" w:fill="FFFFFF"/>
        </w:rPr>
      </w:pPr>
      <w:r>
        <w:rPr>
          <w:rFonts w:hint="eastAsia" w:ascii="方正小标宋简体" w:eastAsia="方正小标宋简体"/>
          <w:bCs/>
          <w:sz w:val="44"/>
          <w:szCs w:val="44"/>
          <w:shd w:val="clear" w:color="auto" w:fill="FFFFFF"/>
        </w:rPr>
        <w:t>遂宁市市场监督管理局经开区分局</w:t>
      </w:r>
    </w:p>
    <w:p>
      <w:pPr>
        <w:spacing w:line="560" w:lineRule="exact"/>
        <w:jc w:val="center"/>
        <w:rPr>
          <w:rFonts w:hint="eastAsia" w:ascii="方正小标宋简体" w:eastAsia="方正小标宋简体"/>
          <w:sz w:val="44"/>
          <w:szCs w:val="44"/>
          <w:shd w:val="clear" w:color="auto" w:fill="FFFFFF"/>
        </w:rPr>
      </w:pPr>
      <w:r>
        <w:rPr>
          <w:rFonts w:hint="eastAsia" w:ascii="方正小标宋简体" w:eastAsia="方正小标宋简体"/>
          <w:sz w:val="44"/>
          <w:szCs w:val="44"/>
          <w:shd w:val="clear" w:color="auto" w:fill="FFFFFF"/>
        </w:rPr>
        <w:t>部门整体支出绩效自评报告</w:t>
      </w:r>
    </w:p>
    <w:p>
      <w:pPr>
        <w:spacing w:line="560" w:lineRule="exact"/>
        <w:jc w:val="center"/>
        <w:rPr>
          <w:rFonts w:hint="eastAsia" w:ascii="方正小标宋简体" w:eastAsia="方正小标宋简体"/>
          <w:sz w:val="44"/>
          <w:szCs w:val="44"/>
          <w:shd w:val="clear" w:color="auto" w:fill="FFFFFF"/>
        </w:rPr>
      </w:pPr>
    </w:p>
    <w:p>
      <w:pPr>
        <w:pStyle w:val="19"/>
        <w:spacing w:line="560" w:lineRule="exact"/>
        <w:rPr>
          <w:rFonts w:hint="eastAsia" w:ascii="仿宋_GB2312" w:eastAsia="仿宋_GB2312"/>
          <w:sz w:val="32"/>
          <w:szCs w:val="32"/>
        </w:rPr>
      </w:pPr>
    </w:p>
    <w:p>
      <w:pPr>
        <w:spacing w:line="560" w:lineRule="exact"/>
        <w:ind w:firstLine="640" w:firstLineChars="200"/>
        <w:rPr>
          <w:rFonts w:hint="eastAsia" w:ascii="仿宋_GB2312" w:eastAsia="仿宋_GB2312"/>
          <w:color w:val="000000"/>
          <w:kern w:val="0"/>
          <w:sz w:val="32"/>
          <w:szCs w:val="32"/>
          <w:shd w:val="clear" w:color="auto" w:fill="FFFFFF"/>
        </w:rPr>
      </w:pPr>
      <w:r>
        <w:rPr>
          <w:rFonts w:hint="eastAsia" w:ascii="仿宋_GB2312" w:hAnsi="仿宋" w:eastAsia="仿宋_GB2312" w:cs="仿宋"/>
          <w:sz w:val="32"/>
          <w:szCs w:val="32"/>
        </w:rPr>
        <w:t>根据你局《遂宁市经济技术开发区财政金融国资管理局关于开展2024年部门、项目、政策支出绩效自评工作的通知》（遂开财经发〔2024〕13号）文件要求,结合职能职责和工作实际,现将我局部门整体支出绩效自评情况报告如下。</w:t>
      </w:r>
    </w:p>
    <w:p>
      <w:pPr>
        <w:widowControl/>
        <w:adjustRightInd w:val="0"/>
        <w:snapToGrid w:val="0"/>
        <w:spacing w:line="560" w:lineRule="exact"/>
        <w:ind w:firstLine="640" w:firstLineChars="200"/>
        <w:contextualSpacing/>
        <w:rPr>
          <w:rFonts w:hint="eastAsia" w:ascii="黑体" w:eastAsia="黑体"/>
          <w:color w:val="000000"/>
          <w:kern w:val="0"/>
          <w:sz w:val="32"/>
          <w:szCs w:val="32"/>
          <w:shd w:val="clear" w:color="auto" w:fill="FFFFFF"/>
          <w:lang w:val="zh-CN"/>
        </w:rPr>
      </w:pPr>
      <w:r>
        <w:rPr>
          <w:rFonts w:hint="eastAsia" w:ascii="黑体" w:eastAsia="黑体"/>
          <w:color w:val="000000"/>
          <w:kern w:val="0"/>
          <w:sz w:val="32"/>
          <w:szCs w:val="32"/>
          <w:shd w:val="clear" w:color="auto" w:fill="FFFFFF"/>
        </w:rPr>
        <w:t>一、</w:t>
      </w:r>
      <w:r>
        <w:rPr>
          <w:rFonts w:hint="eastAsia" w:ascii="黑体" w:eastAsia="黑体"/>
          <w:color w:val="000000"/>
          <w:kern w:val="0"/>
          <w:sz w:val="32"/>
          <w:szCs w:val="32"/>
          <w:shd w:val="clear" w:color="auto" w:fill="FFFFFF"/>
          <w:lang w:val="zh-CN"/>
        </w:rPr>
        <w:t>部门（单位）概况</w:t>
      </w:r>
    </w:p>
    <w:p>
      <w:pPr>
        <w:widowControl/>
        <w:adjustRightInd w:val="0"/>
        <w:snapToGrid w:val="0"/>
        <w:spacing w:line="560" w:lineRule="exact"/>
        <w:ind w:firstLine="640" w:firstLineChars="200"/>
        <w:contextualSpacing/>
        <w:rPr>
          <w:rFonts w:hint="eastAsia" w:ascii="仿宋_GB2312" w:eastAsia="仿宋_GB2312"/>
          <w:color w:val="000000"/>
          <w:kern w:val="0"/>
          <w:sz w:val="32"/>
          <w:szCs w:val="32"/>
          <w:shd w:val="clear" w:color="auto" w:fill="FFFFFF"/>
          <w:lang w:val="zh-CN"/>
        </w:rPr>
      </w:pPr>
      <w:r>
        <w:rPr>
          <w:rFonts w:hint="eastAsia" w:ascii="楷体_GB2312" w:eastAsia="楷体_GB2312"/>
          <w:color w:val="000000"/>
          <w:kern w:val="0"/>
          <w:sz w:val="32"/>
          <w:szCs w:val="32"/>
          <w:shd w:val="clear" w:color="auto" w:fill="FFFFFF"/>
          <w:lang w:val="zh-CN"/>
        </w:rPr>
        <w:t>（一）机构组成。</w:t>
      </w:r>
      <w:r>
        <w:rPr>
          <w:rFonts w:hint="eastAsia" w:ascii="仿宋_GB2312" w:hAnsi="仿宋" w:eastAsia="仿宋_GB2312" w:cs="仿宋"/>
          <w:sz w:val="32"/>
          <w:szCs w:val="32"/>
        </w:rPr>
        <w:t>遂宁市市场监督管理局经开区分局（简称经开区市场监管分局）是遂宁市市场监督管理局派出机构，为正科级。挂遂宁市经开区区食品安全委员会办公室（简称区食安办）、遂宁市经开区知识产权局牌子。</w:t>
      </w:r>
    </w:p>
    <w:p>
      <w:pPr>
        <w:spacing w:line="560" w:lineRule="exact"/>
        <w:ind w:firstLine="640" w:firstLineChars="200"/>
        <w:rPr>
          <w:rFonts w:hint="eastAsia" w:ascii="仿宋_GB2312" w:hAnsi="仿宋" w:eastAsia="仿宋_GB2312" w:cs="仿宋"/>
          <w:sz w:val="32"/>
          <w:szCs w:val="32"/>
        </w:rPr>
      </w:pPr>
      <w:r>
        <w:rPr>
          <w:rFonts w:hint="eastAsia" w:ascii="楷体_GB2312" w:eastAsia="楷体_GB2312"/>
          <w:color w:val="000000"/>
          <w:kern w:val="0"/>
          <w:sz w:val="32"/>
          <w:szCs w:val="32"/>
          <w:shd w:val="clear" w:color="auto" w:fill="FFFFFF"/>
          <w:lang w:val="zh-CN"/>
        </w:rPr>
        <w:t>（二）机构职能</w:t>
      </w:r>
      <w:r>
        <w:rPr>
          <w:rFonts w:hint="eastAsia" w:ascii="仿宋_GB2312" w:eastAsia="仿宋_GB2312"/>
          <w:color w:val="000000"/>
          <w:kern w:val="0"/>
          <w:sz w:val="32"/>
          <w:szCs w:val="32"/>
          <w:shd w:val="clear" w:color="auto" w:fill="FFFFFF"/>
          <w:lang w:val="zh-CN"/>
        </w:rPr>
        <w:t>。</w:t>
      </w:r>
      <w:r>
        <w:rPr>
          <w:rFonts w:hint="eastAsia" w:ascii="仿宋_GB2312" w:hAnsi="仿宋" w:eastAsia="仿宋_GB2312" w:cs="仿宋"/>
          <w:sz w:val="32"/>
          <w:szCs w:val="32"/>
        </w:rPr>
        <w:t>经开区市场监管分局贯彻落实党中央关于市场监督管理工作的方针政策和省委、市委、区党工委的决策部署，在履行职责过程中坚持和加强党对市场监督管理工作的集中统一领导，主要职责是：</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1.负责全区市场综合监督管理工作。</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2.负责权限内市场主体的登记注册工作。</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3.负责依法开展全区市场监督管理执法工作。</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4.负责监督管理全区市场秩序。</w:t>
      </w:r>
    </w:p>
    <w:p>
      <w:pPr>
        <w:spacing w:line="560" w:lineRule="exact"/>
        <w:ind w:firstLine="640" w:firstLineChars="200"/>
        <w:rPr>
          <w:rFonts w:hint="eastAsia" w:ascii="仿宋_GB2312" w:hAnsi="仿宋" w:eastAsia="仿宋_GB2312" w:cs="仿宋"/>
          <w:sz w:val="32"/>
          <w:szCs w:val="32"/>
        </w:rPr>
      </w:pPr>
      <w:r>
        <w:rPr>
          <w:rFonts w:hint="eastAsia" w:ascii="仿宋_GB2312" w:hAnsi="楷体" w:eastAsia="仿宋_GB2312" w:cs="楷体"/>
          <w:sz w:val="32"/>
          <w:szCs w:val="32"/>
        </w:rPr>
        <w:t>5.负责全区宏观质量管理工作。</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6.负责全区产品质量安全监督管理工作。</w:t>
      </w:r>
    </w:p>
    <w:p>
      <w:pPr>
        <w:spacing w:line="560" w:lineRule="exact"/>
        <w:ind w:firstLine="640" w:firstLineChars="200"/>
        <w:rPr>
          <w:rFonts w:hint="eastAsia" w:ascii="仿宋_GB2312" w:hAnsi="仿宋" w:eastAsia="仿宋_GB2312" w:cs="仿宋"/>
          <w:sz w:val="32"/>
          <w:szCs w:val="32"/>
        </w:rPr>
      </w:pPr>
      <w:r>
        <w:rPr>
          <w:rFonts w:hint="eastAsia" w:ascii="仿宋_GB2312" w:hAnsi="楷体" w:eastAsia="仿宋_GB2312" w:cs="楷体"/>
          <w:sz w:val="32"/>
          <w:szCs w:val="32"/>
        </w:rPr>
        <w:t>7.负责全区特种设备安全监督管理工作。</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8.负责全区食品安全监督管理综合协调工作。</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9.负责全区食品安全监督管理工作。</w:t>
      </w:r>
    </w:p>
    <w:p>
      <w:pPr>
        <w:spacing w:line="560" w:lineRule="exact"/>
        <w:ind w:firstLine="646" w:firstLineChars="202"/>
        <w:rPr>
          <w:rFonts w:hint="eastAsia" w:ascii="仿宋_GB2312" w:hAnsi="楷体" w:eastAsia="仿宋_GB2312" w:cs="楷体"/>
          <w:sz w:val="32"/>
          <w:szCs w:val="32"/>
        </w:rPr>
      </w:pPr>
      <w:r>
        <w:rPr>
          <w:rFonts w:hint="eastAsia" w:ascii="仿宋_GB2312" w:hAnsi="楷体" w:eastAsia="仿宋_GB2312" w:cs="楷体"/>
          <w:sz w:val="32"/>
          <w:szCs w:val="32"/>
        </w:rPr>
        <w:t>10.负责贯彻落实执行国家、省、市有关药品（含中药、民族药，下同）、医疗器械和化妆品监督管理的方针政策和法律法规。</w:t>
      </w:r>
    </w:p>
    <w:p>
      <w:pPr>
        <w:spacing w:line="560" w:lineRule="exact"/>
        <w:ind w:firstLine="646" w:firstLineChars="202"/>
        <w:rPr>
          <w:rFonts w:hint="eastAsia" w:ascii="仿宋_GB2312" w:hAnsi="楷体" w:eastAsia="仿宋_GB2312" w:cs="楷体"/>
          <w:sz w:val="32"/>
          <w:szCs w:val="32"/>
        </w:rPr>
      </w:pPr>
      <w:r>
        <w:rPr>
          <w:rFonts w:hint="eastAsia" w:ascii="仿宋_GB2312" w:hAnsi="楷体" w:eastAsia="仿宋_GB2312" w:cs="楷体"/>
          <w:sz w:val="32"/>
          <w:szCs w:val="32"/>
        </w:rPr>
        <w:t>11.负责统一管理全区计量工作。</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12.负责统一管理全区标准化工作。</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13.负责统一管理全区检验检测工作。</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14.负责统一管理全区认证认可工作。</w:t>
      </w:r>
    </w:p>
    <w:p>
      <w:pPr>
        <w:spacing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15.负责市场监督管理科技和信息化建设、新闻宣传。</w:t>
      </w:r>
    </w:p>
    <w:p>
      <w:pPr>
        <w:spacing w:line="560" w:lineRule="exact"/>
        <w:ind w:firstLine="640" w:firstLineChars="200"/>
        <w:rPr>
          <w:rFonts w:hint="eastAsia" w:ascii="仿宋_GB2312" w:eastAsia="仿宋_GB2312"/>
          <w:color w:val="000000"/>
          <w:kern w:val="0"/>
          <w:sz w:val="32"/>
          <w:szCs w:val="32"/>
          <w:shd w:val="clear" w:color="auto" w:fill="FFFFFF"/>
          <w:lang w:val="zh-CN"/>
        </w:rPr>
      </w:pPr>
      <w:r>
        <w:rPr>
          <w:rFonts w:hint="eastAsia" w:ascii="仿宋_GB2312" w:hAnsi="楷体" w:eastAsia="仿宋_GB2312" w:cs="楷体"/>
          <w:sz w:val="32"/>
          <w:szCs w:val="32"/>
        </w:rPr>
        <w:t>16.负责全区知识产权战略、规划的制定，知识产权的保护，负责组织商标、专利执法工作。</w:t>
      </w:r>
    </w:p>
    <w:p>
      <w:pPr>
        <w:widowControl/>
        <w:adjustRightInd w:val="0"/>
        <w:snapToGrid w:val="0"/>
        <w:spacing w:line="560" w:lineRule="exact"/>
        <w:ind w:firstLine="640" w:firstLineChars="200"/>
        <w:contextualSpacing/>
        <w:jc w:val="left"/>
        <w:rPr>
          <w:rFonts w:hint="eastAsia" w:ascii="仿宋_GB2312" w:eastAsia="仿宋_GB2312"/>
          <w:color w:val="000000"/>
          <w:kern w:val="0"/>
          <w:sz w:val="32"/>
          <w:szCs w:val="32"/>
          <w:shd w:val="clear" w:color="auto" w:fill="FFFFFF"/>
          <w:lang w:val="zh-CN"/>
        </w:rPr>
      </w:pPr>
      <w:r>
        <w:rPr>
          <w:rFonts w:hint="eastAsia" w:ascii="楷体_GB2312" w:eastAsia="楷体_GB2312"/>
          <w:color w:val="000000"/>
          <w:kern w:val="0"/>
          <w:sz w:val="32"/>
          <w:szCs w:val="32"/>
          <w:shd w:val="clear" w:color="auto" w:fill="FFFFFF"/>
          <w:lang w:val="zh-CN"/>
        </w:rPr>
        <w:t>（三）人员概况。</w:t>
      </w:r>
      <w:r>
        <w:rPr>
          <w:rFonts w:hint="eastAsia" w:ascii="仿宋_GB2312" w:hAnsi="仿宋" w:eastAsia="仿宋_GB2312" w:cs="仿宋"/>
          <w:sz w:val="32"/>
          <w:szCs w:val="32"/>
        </w:rPr>
        <w:t>分局</w:t>
      </w:r>
      <w:r>
        <w:rPr>
          <w:rFonts w:hint="eastAsia" w:ascii="仿宋_GB2312" w:hAnsi="仿宋_GB2312" w:eastAsia="仿宋_GB2312"/>
          <w:sz w:val="32"/>
          <w:szCs w:val="32"/>
        </w:rPr>
        <w:t>公务员编制</w:t>
      </w:r>
      <w:r>
        <w:rPr>
          <w:rFonts w:hint="eastAsia" w:ascii="仿宋_GB2312" w:eastAsia="仿宋_GB2312"/>
          <w:sz w:val="32"/>
          <w:szCs w:val="32"/>
        </w:rPr>
        <w:t>30</w:t>
      </w:r>
      <w:r>
        <w:rPr>
          <w:rFonts w:hint="eastAsia" w:ascii="仿宋_GB2312" w:hAnsi="仿宋_GB2312" w:eastAsia="仿宋_GB2312"/>
          <w:sz w:val="32"/>
          <w:szCs w:val="32"/>
        </w:rPr>
        <w:t>名，事业编制14名，劳务派遣人员28名，其中：局长</w:t>
      </w:r>
      <w:r>
        <w:rPr>
          <w:rFonts w:hint="eastAsia" w:ascii="仿宋_GB2312" w:eastAsia="仿宋_GB2312"/>
          <w:sz w:val="32"/>
          <w:szCs w:val="32"/>
        </w:rPr>
        <w:t>1</w:t>
      </w:r>
      <w:r>
        <w:rPr>
          <w:rFonts w:hint="eastAsia" w:ascii="仿宋_GB2312" w:hAnsi="仿宋_GB2312" w:eastAsia="仿宋_GB2312"/>
          <w:sz w:val="32"/>
          <w:szCs w:val="32"/>
        </w:rPr>
        <w:t>名、副局长</w:t>
      </w:r>
      <w:r>
        <w:rPr>
          <w:rFonts w:hint="eastAsia" w:ascii="仿宋_GB2312" w:eastAsia="仿宋_GB2312"/>
          <w:sz w:val="32"/>
          <w:szCs w:val="32"/>
        </w:rPr>
        <w:t>3</w:t>
      </w:r>
      <w:r>
        <w:rPr>
          <w:rFonts w:hint="eastAsia" w:ascii="仿宋_GB2312" w:hAnsi="仿宋_GB2312" w:eastAsia="仿宋_GB2312"/>
          <w:sz w:val="32"/>
          <w:szCs w:val="32"/>
        </w:rPr>
        <w:t>名。</w:t>
      </w:r>
    </w:p>
    <w:p>
      <w:pPr>
        <w:widowControl/>
        <w:adjustRightInd w:val="0"/>
        <w:snapToGrid w:val="0"/>
        <w:spacing w:line="560" w:lineRule="exact"/>
        <w:ind w:firstLine="640" w:firstLineChars="200"/>
        <w:contextualSpacing/>
        <w:jc w:val="left"/>
        <w:rPr>
          <w:rFonts w:hint="eastAsia"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二、部门财政资金收支情况</w:t>
      </w:r>
    </w:p>
    <w:p>
      <w:pPr>
        <w:spacing w:line="560" w:lineRule="exact"/>
        <w:ind w:firstLine="640" w:firstLineChars="200"/>
        <w:rPr>
          <w:rFonts w:hint="eastAsia" w:ascii="仿宋_GB2312" w:eastAsia="仿宋_GB2312"/>
          <w:color w:val="000000"/>
          <w:kern w:val="0"/>
          <w:sz w:val="32"/>
          <w:szCs w:val="32"/>
          <w:shd w:val="clear" w:color="auto" w:fill="FFFFFF"/>
          <w:lang w:val="zh-CN"/>
        </w:rPr>
      </w:pPr>
      <w:r>
        <w:rPr>
          <w:rFonts w:hint="eastAsia" w:ascii="楷体_GB2312" w:eastAsia="楷体_GB2312"/>
          <w:color w:val="000000"/>
          <w:kern w:val="0"/>
          <w:sz w:val="32"/>
          <w:szCs w:val="32"/>
          <w:shd w:val="clear" w:color="auto" w:fill="FFFFFF"/>
          <w:lang w:val="zh-CN"/>
        </w:rPr>
        <w:t>（一）部门财政资金收入情况</w:t>
      </w:r>
    </w:p>
    <w:p>
      <w:pPr>
        <w:spacing w:line="560" w:lineRule="exact"/>
        <w:ind w:firstLine="640" w:firstLineChars="200"/>
        <w:rPr>
          <w:rFonts w:hint="eastAsia" w:ascii="仿宋_GB2312" w:eastAsia="仿宋_GB2312"/>
          <w:color w:val="000000"/>
          <w:kern w:val="0"/>
          <w:sz w:val="32"/>
          <w:szCs w:val="32"/>
          <w:shd w:val="clear" w:color="auto" w:fill="FFFFFF"/>
          <w:lang w:val="zh-CN"/>
        </w:rPr>
      </w:pPr>
      <w:r>
        <w:rPr>
          <w:rStyle w:val="23"/>
          <w:rFonts w:hint="eastAsia" w:ascii="仿宋_GB2312" w:hAnsi="仿宋" w:eastAsia="仿宋_GB2312" w:cs="仿宋"/>
          <w:sz w:val="32"/>
          <w:szCs w:val="32"/>
        </w:rPr>
        <w:t>2023年市场监管分局财政拨款总收入618.8万元。</w:t>
      </w:r>
      <w:r>
        <w:rPr>
          <w:rFonts w:hint="eastAsia" w:ascii="仿宋_GB2312" w:eastAsia="仿宋_GB2312" w:cs="仿宋"/>
          <w:sz w:val="32"/>
          <w:szCs w:val="32"/>
        </w:rPr>
        <w:t>其中，一般公共预算财政拨款总收入618.8万元，占本年收入合计的100%。</w:t>
      </w:r>
    </w:p>
    <w:p>
      <w:pPr>
        <w:spacing w:line="560" w:lineRule="exact"/>
        <w:ind w:firstLine="640" w:firstLineChars="200"/>
        <w:rPr>
          <w:rFonts w:hint="eastAsia" w:ascii="楷体_GB2312" w:eastAsia="楷体_GB2312"/>
          <w:color w:val="000000"/>
          <w:kern w:val="0"/>
          <w:sz w:val="32"/>
          <w:szCs w:val="32"/>
          <w:shd w:val="clear" w:color="auto" w:fill="FFFFFF"/>
          <w:lang w:val="zh-CN"/>
        </w:rPr>
      </w:pPr>
      <w:r>
        <w:rPr>
          <w:rFonts w:hint="eastAsia" w:ascii="楷体_GB2312" w:eastAsia="楷体_GB2312"/>
          <w:color w:val="000000"/>
          <w:kern w:val="0"/>
          <w:sz w:val="32"/>
          <w:szCs w:val="32"/>
          <w:shd w:val="clear" w:color="auto" w:fill="FFFFFF"/>
          <w:lang w:val="zh-CN"/>
        </w:rPr>
        <w:t>（二）部门财政资金支出情况</w:t>
      </w:r>
    </w:p>
    <w:p>
      <w:pPr>
        <w:spacing w:line="560" w:lineRule="exact"/>
        <w:ind w:firstLine="960" w:firstLineChars="300"/>
        <w:rPr>
          <w:rFonts w:hint="eastAsia" w:ascii="仿宋_GB2312" w:eastAsia="仿宋_GB2312" w:cs="仿宋"/>
          <w:sz w:val="32"/>
          <w:szCs w:val="32"/>
          <w:lang w:val="zh-CN"/>
        </w:rPr>
      </w:pPr>
      <w:r>
        <w:rPr>
          <w:rStyle w:val="23"/>
          <w:rFonts w:hint="eastAsia" w:ascii="仿宋_GB2312" w:hAnsi="仿宋" w:eastAsia="仿宋_GB2312" w:cs="仿宋"/>
          <w:sz w:val="32"/>
          <w:szCs w:val="32"/>
        </w:rPr>
        <w:t>2023年财政拨款总支出618.8万元，</w:t>
      </w:r>
      <w:r>
        <w:rPr>
          <w:rFonts w:hint="eastAsia" w:ascii="仿宋_GB2312" w:eastAsia="仿宋_GB2312" w:cs="仿宋"/>
          <w:sz w:val="32"/>
          <w:szCs w:val="32"/>
        </w:rPr>
        <w:t>其中，一般公共预算财政拨款总支出618.8万元，</w:t>
      </w:r>
      <w:r>
        <w:rPr>
          <w:rFonts w:hint="eastAsia" w:ascii="仿宋_GB2312" w:eastAsia="仿宋_GB2312"/>
          <w:sz w:val="32"/>
          <w:szCs w:val="32"/>
        </w:rPr>
        <w:t>部门总体执行进度为100%</w:t>
      </w:r>
      <w:r>
        <w:rPr>
          <w:rFonts w:hint="eastAsia" w:ascii="仿宋_GB2312" w:eastAsia="仿宋_GB2312" w:cs="仿宋"/>
          <w:sz w:val="32"/>
          <w:szCs w:val="32"/>
        </w:rPr>
        <w:t>。</w:t>
      </w:r>
      <w:r>
        <w:rPr>
          <w:rFonts w:hint="eastAsia" w:ascii="仿宋_GB2312" w:eastAsia="仿宋_GB2312" w:cs="仿宋"/>
          <w:sz w:val="32"/>
          <w:szCs w:val="32"/>
          <w:lang w:val="zh-CN"/>
        </w:rPr>
        <w:t>主要用于保障局机关正常运转、完成日常工作任务以及承担市场安全监管以及食品安全委员会相关工作。</w:t>
      </w:r>
    </w:p>
    <w:p>
      <w:pPr>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基本支出329.59万元，占财政拨款总支出的53.26%，用于保障</w:t>
      </w:r>
      <w:r>
        <w:rPr>
          <w:rFonts w:hint="eastAsia" w:ascii="仿宋_GB2312" w:eastAsia="仿宋_GB2312" w:cs="仿宋"/>
          <w:sz w:val="32"/>
          <w:szCs w:val="32"/>
          <w:lang w:val="zh-CN"/>
        </w:rPr>
        <w:t>部门正常运转的日常支出，包括其他工资福利支出等人员经费以及办公费、邮电费、差旅费、培训费、劳务费、其他商品和服务支出等日常公用经费。</w:t>
      </w:r>
    </w:p>
    <w:p>
      <w:pPr>
        <w:spacing w:line="560" w:lineRule="exact"/>
        <w:ind w:firstLine="640" w:firstLineChars="200"/>
        <w:rPr>
          <w:rFonts w:hint="eastAsia" w:ascii="仿宋_GB2312" w:eastAsia="仿宋_GB2312"/>
          <w:color w:val="000000"/>
          <w:kern w:val="0"/>
          <w:sz w:val="32"/>
          <w:szCs w:val="32"/>
          <w:shd w:val="clear" w:color="auto" w:fill="FFFFFF"/>
          <w:lang w:val="zh-CN"/>
        </w:rPr>
      </w:pPr>
      <w:r>
        <w:rPr>
          <w:rFonts w:hint="eastAsia" w:ascii="仿宋_GB2312" w:eastAsia="仿宋_GB2312" w:cs="仿宋"/>
          <w:sz w:val="32"/>
          <w:szCs w:val="32"/>
        </w:rPr>
        <w:t>项目支出289.22万元，占财政拨款总支出的46.74%，主要用于保障本部门劳务派遣人员的劳动报酬及五险一金等；完成日常市场监管秩序维护管理、提升市场管理水平；统筹推进食品安全生产委员会安排部署的重点工作专项整治；全面改造提升农贸市场经营环境、秩序工作；全力严格抓好市场监管领域执法</w:t>
      </w:r>
      <w:r>
        <w:rPr>
          <w:rFonts w:hint="eastAsia" w:ascii="仿宋_GB2312" w:eastAsia="仿宋_GB2312" w:cs="仿宋"/>
          <w:sz w:val="32"/>
          <w:szCs w:val="32"/>
          <w:lang w:val="zh-CN"/>
        </w:rPr>
        <w:t>等专项行政工作任务或事业发展目标。</w:t>
      </w:r>
    </w:p>
    <w:p>
      <w:pPr>
        <w:widowControl/>
        <w:adjustRightInd w:val="0"/>
        <w:snapToGrid w:val="0"/>
        <w:spacing w:line="560" w:lineRule="exact"/>
        <w:ind w:firstLine="640" w:firstLineChars="200"/>
        <w:contextualSpacing/>
        <w:jc w:val="left"/>
        <w:rPr>
          <w:rFonts w:hint="eastAsia" w:ascii="仿宋_GB2312" w:eastAsia="仿宋_GB2312"/>
          <w:color w:val="000000"/>
          <w:kern w:val="0"/>
          <w:sz w:val="32"/>
          <w:szCs w:val="32"/>
          <w:shd w:val="clear" w:color="auto" w:fill="FFFFFF"/>
        </w:rPr>
      </w:pPr>
      <w:r>
        <w:rPr>
          <w:rFonts w:hint="eastAsia" w:ascii="黑体" w:eastAsia="黑体"/>
          <w:color w:val="000000"/>
          <w:kern w:val="0"/>
          <w:sz w:val="32"/>
          <w:szCs w:val="32"/>
          <w:shd w:val="clear" w:color="auto" w:fill="FFFFFF"/>
        </w:rPr>
        <w:t>三、部门整体预算绩效管理情况</w:t>
      </w:r>
    </w:p>
    <w:p>
      <w:pPr>
        <w:spacing w:line="560" w:lineRule="exact"/>
        <w:ind w:firstLine="640" w:firstLineChars="200"/>
        <w:rPr>
          <w:rFonts w:hint="eastAsia" w:ascii="仿宋_GB2312" w:eastAsia="仿宋_GB2312"/>
          <w:color w:val="000000"/>
          <w:kern w:val="0"/>
          <w:sz w:val="32"/>
          <w:szCs w:val="32"/>
          <w:shd w:val="clear" w:color="auto" w:fill="FFFFFF"/>
          <w:lang w:val="zh-CN"/>
        </w:rPr>
      </w:pPr>
      <w:r>
        <w:rPr>
          <w:rFonts w:hint="eastAsia" w:ascii="楷体_GB2312" w:eastAsia="楷体_GB2312"/>
          <w:color w:val="000000"/>
          <w:kern w:val="0"/>
          <w:sz w:val="32"/>
          <w:szCs w:val="32"/>
          <w:shd w:val="clear" w:color="auto" w:fill="FFFFFF"/>
          <w:lang w:val="zh-CN"/>
        </w:rPr>
        <w:t>（一）部门预算项目绩效管理</w:t>
      </w:r>
    </w:p>
    <w:p>
      <w:pPr>
        <w:spacing w:line="560"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lang w:val="zh-CN"/>
        </w:rPr>
        <w:t>部门绩效目标制定。</w:t>
      </w:r>
    </w:p>
    <w:p>
      <w:pPr>
        <w:spacing w:line="560"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eastAsia="仿宋_GB2312" w:cs="仿宋"/>
          <w:sz w:val="32"/>
          <w:szCs w:val="32"/>
        </w:rPr>
        <w:t>2023</w:t>
      </w:r>
      <w:r>
        <w:rPr>
          <w:rFonts w:hint="eastAsia" w:ascii="仿宋_GB2312" w:eastAsia="仿宋_GB2312" w:cs="仿宋"/>
          <w:sz w:val="32"/>
          <w:szCs w:val="32"/>
          <w:lang w:val="zh-CN"/>
        </w:rPr>
        <w:t>年，我局严格按照区财政金融局预算编制口径及有关要求，依据我局职能职责和年度工作任务测算，提前细化专项预算，按时完成了预算基础数据库、项目库、预算草案的报审工作。同时，在规定时间内，保质保量地完成了项目资金绩效目标的编报，绩效目标要素完整，指标细化量化，编制程序严密。由局办公室汇总机关各股、队项目需求，与区财政金融局对预算草案相关数据沟通、衔接和优化调整后，编制部门预算草案报局党支部会审议，审议通过后报区财政金融局，审核通过情况良好。20</w:t>
      </w:r>
      <w:r>
        <w:rPr>
          <w:rFonts w:hint="eastAsia" w:ascii="仿宋_GB2312" w:eastAsia="仿宋_GB2312" w:cs="仿宋"/>
          <w:sz w:val="32"/>
          <w:szCs w:val="32"/>
        </w:rPr>
        <w:t>23</w:t>
      </w:r>
      <w:r>
        <w:rPr>
          <w:rFonts w:hint="eastAsia" w:ascii="仿宋_GB2312" w:eastAsia="仿宋_GB2312" w:cs="仿宋"/>
          <w:sz w:val="32"/>
          <w:szCs w:val="32"/>
          <w:lang w:val="zh-CN"/>
        </w:rPr>
        <w:t>年，根据年度主要任务、总体目标及绩效指标详细编制本部门整体支出绩效目标，编制完整、合理，</w:t>
      </w:r>
      <w:r>
        <w:rPr>
          <w:rFonts w:hint="eastAsia" w:ascii="仿宋_GB2312" w:eastAsia="仿宋_GB2312" w:cs="仿宋"/>
          <w:sz w:val="32"/>
          <w:szCs w:val="32"/>
        </w:rPr>
        <w:t>对各项目资金进行了明确、量化，编制项目支出绩效目标具体、细化。</w:t>
      </w:r>
    </w:p>
    <w:p>
      <w:pPr>
        <w:spacing w:line="560" w:lineRule="exact"/>
        <w:ind w:left="640"/>
        <w:rPr>
          <w:rFonts w:hint="eastAsia" w:ascii="仿宋_GB2312" w:hAnsi="仿宋" w:eastAsia="仿宋_GB2312"/>
          <w:kern w:val="0"/>
          <w:sz w:val="32"/>
          <w:szCs w:val="32"/>
        </w:rPr>
      </w:pPr>
      <w:r>
        <w:rPr>
          <w:rFonts w:hint="eastAsia" w:ascii="仿宋_GB2312" w:hAnsi="宋体" w:eastAsia="仿宋_GB2312" w:cs="宋体"/>
          <w:color w:val="000000"/>
          <w:kern w:val="0"/>
          <w:sz w:val="32"/>
          <w:szCs w:val="32"/>
          <w:shd w:val="clear" w:color="auto" w:fill="FFFFFF"/>
          <w:lang w:val="zh-CN"/>
        </w:rPr>
        <w:t>2.目标实现。</w:t>
      </w:r>
    </w:p>
    <w:p>
      <w:pPr>
        <w:spacing w:line="56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全年一般公共预算财政拨款总额618.8万元，其中人员类5.81万元，运转类323.78万元，特定目标类289.22万元。</w:t>
      </w:r>
      <w:r>
        <w:rPr>
          <w:rFonts w:hint="eastAsia" w:ascii="仿宋_GB2312" w:eastAsia="仿宋_GB2312"/>
          <w:sz w:val="32"/>
          <w:szCs w:val="32"/>
        </w:rPr>
        <w:t>我局的绩效目标</w:t>
      </w:r>
      <w:r>
        <w:rPr>
          <w:rFonts w:hint="eastAsia" w:ascii="仿宋_GB2312" w:eastAsia="仿宋_GB2312" w:cs="仿宋"/>
          <w:sz w:val="32"/>
          <w:szCs w:val="32"/>
          <w:lang w:val="zh-CN"/>
        </w:rPr>
        <w:t>涵盖了数量指标、质量指标、时效指标、成本指标、经济效益指标、社会效益指标、生态效益指标、可持续影响指标、满意度指标等</w:t>
      </w:r>
      <w:r>
        <w:rPr>
          <w:rFonts w:hint="eastAsia" w:ascii="仿宋_GB2312" w:eastAsia="仿宋_GB2312" w:cs="仿宋"/>
          <w:sz w:val="32"/>
          <w:szCs w:val="32"/>
        </w:rPr>
        <w:t>9个方面，2023年</w:t>
      </w:r>
      <w:r>
        <w:rPr>
          <w:rFonts w:hint="eastAsia" w:ascii="仿宋_GB2312" w:eastAsia="仿宋_GB2312"/>
          <w:sz w:val="32"/>
          <w:szCs w:val="32"/>
        </w:rPr>
        <w:t>各项绩效目标实现完成情况良好，</w:t>
      </w:r>
      <w:r>
        <w:rPr>
          <w:rFonts w:hint="eastAsia" w:ascii="仿宋_GB2312" w:hAnsi="仿宋" w:eastAsia="仿宋_GB2312"/>
          <w:kern w:val="0"/>
          <w:sz w:val="32"/>
          <w:szCs w:val="32"/>
        </w:rPr>
        <w:t>无资金占用、挪用、贪污现象。</w:t>
      </w:r>
    </w:p>
    <w:p>
      <w:pPr>
        <w:widowControl/>
        <w:adjustRightInd w:val="0"/>
        <w:snapToGrid w:val="0"/>
        <w:spacing w:line="560" w:lineRule="exact"/>
        <w:ind w:firstLine="640" w:firstLineChars="200"/>
        <w:contextualSpacing/>
        <w:rPr>
          <w:rFonts w:hint="eastAsia" w:ascii="仿宋_GB2312" w:eastAsia="仿宋_GB2312"/>
          <w:sz w:val="32"/>
          <w:szCs w:val="32"/>
        </w:rPr>
      </w:pPr>
      <w:r>
        <w:rPr>
          <w:rFonts w:hint="eastAsia" w:ascii="仿宋_GB2312" w:hAnsi="宋体" w:eastAsia="仿宋_GB2312" w:cs="宋体"/>
          <w:color w:val="000000"/>
          <w:kern w:val="0"/>
          <w:sz w:val="32"/>
          <w:szCs w:val="32"/>
          <w:shd w:val="clear" w:color="auto" w:fill="FFFFFF"/>
          <w:lang w:val="zh-CN"/>
        </w:rPr>
        <w:t>人员类：</w:t>
      </w:r>
      <w:r>
        <w:rPr>
          <w:rFonts w:hint="eastAsia" w:ascii="仿宋_GB2312" w:hAnsi="宋体" w:eastAsia="仿宋_GB2312" w:cs="宋体"/>
          <w:color w:val="000000"/>
          <w:kern w:val="0"/>
          <w:sz w:val="32"/>
          <w:szCs w:val="32"/>
          <w:shd w:val="clear" w:color="auto" w:fill="FFFFFF"/>
        </w:rPr>
        <w:t>2023年主要用于单位职工退休职业年金记实。</w:t>
      </w:r>
    </w:p>
    <w:p>
      <w:pPr>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运转类：2023年基本满足在职人员正常办公、生活要求，基本满足我局机关正常运转，各项工作平稳推进。</w:t>
      </w:r>
    </w:p>
    <w:p>
      <w:pPr>
        <w:spacing w:line="560" w:lineRule="exact"/>
        <w:ind w:firstLine="640" w:firstLineChars="200"/>
        <w:rPr>
          <w:rFonts w:hint="eastAsia" w:ascii="仿宋_GB2312" w:eastAsia="仿宋_GB2312" w:cs="仿宋"/>
          <w:sz w:val="32"/>
          <w:szCs w:val="32"/>
        </w:rPr>
      </w:pPr>
      <w:r>
        <w:rPr>
          <w:rFonts w:hint="eastAsia" w:ascii="仿宋_GB2312" w:eastAsia="仿宋_GB2312"/>
          <w:sz w:val="32"/>
          <w:szCs w:val="32"/>
        </w:rPr>
        <w:t>特定目标类项目：</w:t>
      </w:r>
      <w:r>
        <w:rPr>
          <w:rFonts w:hint="eastAsia" w:ascii="仿宋_GB2312" w:hAnsi="宋体" w:eastAsia="仿宋_GB2312"/>
          <w:sz w:val="32"/>
          <w:szCs w:val="32"/>
        </w:rPr>
        <w:t>以防控新冠肺炎疫情和服务市场主体发展、优化营商环境为工作重心，狠抓食品药品安全、农贸市场整治提升、知识产权保护等重点工作，</w:t>
      </w:r>
      <w:r>
        <w:rPr>
          <w:rFonts w:hint="eastAsia" w:ascii="仿宋_GB2312" w:eastAsia="仿宋_GB2312"/>
          <w:sz w:val="32"/>
          <w:szCs w:val="32"/>
        </w:rPr>
        <w:t>加强执法队伍规范化建设，完成制式服装更换，树立文明规范的执法队伍形象，</w:t>
      </w:r>
      <w:r>
        <w:rPr>
          <w:rFonts w:hint="eastAsia" w:ascii="仿宋_GB2312" w:hAnsi="宋体" w:eastAsia="仿宋_GB2312"/>
          <w:sz w:val="32"/>
          <w:szCs w:val="32"/>
        </w:rPr>
        <w:t>攥指成拳，靶向监管，全面强化市场监管职能，做好了服务与监管两篇文章。</w:t>
      </w:r>
    </w:p>
    <w:p>
      <w:pPr>
        <w:pStyle w:val="24"/>
        <w:spacing w:line="560" w:lineRule="exact"/>
        <w:ind w:firstLine="640"/>
        <w:rPr>
          <w:rFonts w:hint="eastAsia" w:ascii="仿宋_GB2312" w:hAnsi="宋体" w:eastAsia="仿宋_GB2312" w:cs="宋体"/>
          <w:color w:val="000000"/>
          <w:szCs w:val="32"/>
          <w:shd w:val="clear" w:color="auto" w:fill="FFFFFF"/>
        </w:rPr>
      </w:pPr>
      <w:r>
        <w:rPr>
          <w:rFonts w:hint="eastAsia" w:ascii="仿宋_GB2312" w:hAnsi="宋体" w:eastAsia="仿宋_GB2312" w:cs="宋体"/>
          <w:color w:val="000000"/>
          <w:szCs w:val="32"/>
          <w:shd w:val="clear" w:color="auto" w:fill="FFFFFF"/>
          <w:lang w:val="en-US"/>
        </w:rPr>
        <w:t>3.</w:t>
      </w:r>
      <w:r>
        <w:rPr>
          <w:rFonts w:hint="eastAsia" w:ascii="仿宋_GB2312" w:hAnsi="宋体" w:eastAsia="仿宋_GB2312" w:cs="宋体"/>
          <w:color w:val="000000"/>
          <w:szCs w:val="32"/>
          <w:shd w:val="clear" w:color="auto" w:fill="FFFFFF"/>
        </w:rPr>
        <w:t>支出控制。</w:t>
      </w:r>
      <w:r>
        <w:rPr>
          <w:rFonts w:hint="eastAsia" w:ascii="仿宋_GB2312" w:hAnsi="仿宋" w:eastAsia="仿宋_GB2312"/>
          <w:szCs w:val="32"/>
          <w:lang w:val="en-US"/>
        </w:rPr>
        <w:t>支出控制较到位。市场监管分局2023年度办公费、印刷费、水费、电费、物业管理费、维修（护）费、培训费、会议费的实际支出均未超过年初预算，且整体支出未超出年初预算，无偏差。</w:t>
      </w:r>
    </w:p>
    <w:p>
      <w:pPr>
        <w:widowControl/>
        <w:adjustRightInd w:val="0"/>
        <w:snapToGrid w:val="0"/>
        <w:spacing w:line="560" w:lineRule="exact"/>
        <w:ind w:firstLine="640" w:firstLineChars="200"/>
        <w:contextualSpacing/>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4.</w:t>
      </w:r>
      <w:r>
        <w:rPr>
          <w:rFonts w:hint="eastAsia" w:ascii="仿宋_GB2312" w:hAnsi="宋体" w:eastAsia="仿宋_GB2312" w:cs="宋体"/>
          <w:color w:val="000000"/>
          <w:kern w:val="0"/>
          <w:sz w:val="32"/>
          <w:szCs w:val="32"/>
          <w:shd w:val="clear" w:color="auto" w:fill="FFFFFF"/>
          <w:lang w:val="zh-CN"/>
        </w:rPr>
        <w:t>及时处置。市场监管分局开展绩效运行监控后，绩效监控结果应用到预算调整的情况为：一般公共预算年初预算数为</w:t>
      </w:r>
      <w:r>
        <w:rPr>
          <w:rFonts w:hint="eastAsia" w:ascii="仿宋_GB2312" w:hAnsi="宋体" w:eastAsia="仿宋_GB2312" w:cs="宋体"/>
          <w:color w:val="000000"/>
          <w:kern w:val="0"/>
          <w:sz w:val="32"/>
          <w:szCs w:val="32"/>
          <w:shd w:val="clear" w:color="auto" w:fill="FFFFFF"/>
        </w:rPr>
        <w:t>618.8万元，全年预算数为618.8万元，决算数为618.8万元，执行率100%，无预算调整情况</w:t>
      </w:r>
      <w:r>
        <w:rPr>
          <w:rFonts w:hint="eastAsia" w:ascii="仿宋_GB2312" w:hAnsi="宋体" w:eastAsia="仿宋_GB2312" w:cs="宋体"/>
          <w:color w:val="000000"/>
          <w:kern w:val="0"/>
          <w:sz w:val="32"/>
          <w:szCs w:val="32"/>
          <w:shd w:val="clear" w:color="auto" w:fill="FFFFFF"/>
          <w:lang w:val="zh-CN"/>
        </w:rPr>
        <w:t>。</w:t>
      </w:r>
    </w:p>
    <w:p>
      <w:pPr>
        <w:spacing w:line="560"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5.</w:t>
      </w:r>
      <w:r>
        <w:rPr>
          <w:rFonts w:hint="eastAsia" w:ascii="仿宋_GB2312" w:hAnsi="宋体" w:eastAsia="仿宋_GB2312" w:cs="宋体"/>
          <w:color w:val="000000"/>
          <w:kern w:val="0"/>
          <w:sz w:val="32"/>
          <w:szCs w:val="32"/>
          <w:shd w:val="clear" w:color="auto" w:fill="FFFFFF"/>
          <w:lang w:val="zh-CN"/>
        </w:rPr>
        <w:t>执行进度。</w:t>
      </w:r>
      <w:r>
        <w:rPr>
          <w:rFonts w:hint="eastAsia" w:ascii="仿宋_GB2312" w:eastAsia="仿宋_GB2312"/>
          <w:sz w:val="32"/>
          <w:szCs w:val="32"/>
          <w:lang w:val="zh-CN"/>
        </w:rPr>
        <w:t>20</w:t>
      </w:r>
      <w:r>
        <w:rPr>
          <w:rFonts w:hint="eastAsia" w:ascii="仿宋_GB2312" w:eastAsia="仿宋_GB2312"/>
          <w:sz w:val="32"/>
          <w:szCs w:val="32"/>
        </w:rPr>
        <w:t>23</w:t>
      </w:r>
      <w:r>
        <w:rPr>
          <w:rFonts w:hint="eastAsia" w:ascii="仿宋_GB2312" w:eastAsia="仿宋_GB2312" w:cs="仿宋"/>
          <w:sz w:val="32"/>
          <w:szCs w:val="32"/>
          <w:lang w:val="zh-CN"/>
        </w:rPr>
        <w:t>年，我局按要求严格预算执行管理，严格控制预算项目支出范围、支出标准，</w:t>
      </w:r>
      <w:r>
        <w:rPr>
          <w:rFonts w:hint="eastAsia" w:ascii="仿宋_GB2312" w:eastAsia="仿宋_GB2312"/>
          <w:kern w:val="0"/>
          <w:sz w:val="32"/>
          <w:szCs w:val="32"/>
          <w:shd w:val="clear" w:color="auto" w:fill="FFFFFF"/>
          <w:lang w:val="zh-CN"/>
        </w:rPr>
        <w:t>在6月、9月、11月的部门预算执行进度分别为</w:t>
      </w:r>
      <w:r>
        <w:rPr>
          <w:rFonts w:hint="eastAsia" w:ascii="仿宋_GB2312" w:eastAsia="仿宋_GB2312"/>
          <w:kern w:val="0"/>
          <w:sz w:val="32"/>
          <w:szCs w:val="32"/>
          <w:shd w:val="clear" w:color="auto" w:fill="FFFFFF"/>
        </w:rPr>
        <w:t>22.97</w:t>
      </w:r>
      <w:r>
        <w:rPr>
          <w:rFonts w:hint="eastAsia" w:ascii="仿宋_GB2312" w:eastAsia="仿宋_GB2312"/>
          <w:kern w:val="0"/>
          <w:sz w:val="32"/>
          <w:szCs w:val="32"/>
          <w:shd w:val="clear" w:color="auto" w:fill="FFFFFF"/>
          <w:lang w:val="zh-CN"/>
        </w:rPr>
        <w:t>%、</w:t>
      </w:r>
      <w:r>
        <w:rPr>
          <w:rFonts w:hint="eastAsia" w:ascii="仿宋_GB2312" w:eastAsia="仿宋_GB2312"/>
          <w:kern w:val="0"/>
          <w:sz w:val="32"/>
          <w:szCs w:val="32"/>
          <w:shd w:val="clear" w:color="auto" w:fill="FFFFFF"/>
        </w:rPr>
        <w:t>31.84</w:t>
      </w:r>
      <w:r>
        <w:rPr>
          <w:rFonts w:hint="eastAsia" w:ascii="仿宋_GB2312" w:eastAsia="仿宋_GB2312"/>
          <w:kern w:val="0"/>
          <w:sz w:val="32"/>
          <w:szCs w:val="32"/>
          <w:shd w:val="clear" w:color="auto" w:fill="FFFFFF"/>
          <w:lang w:val="zh-CN"/>
        </w:rPr>
        <w:t>%、</w:t>
      </w:r>
      <w:r>
        <w:rPr>
          <w:rFonts w:hint="eastAsia" w:ascii="仿宋_GB2312" w:eastAsia="仿宋_GB2312"/>
          <w:kern w:val="0"/>
          <w:sz w:val="32"/>
          <w:szCs w:val="32"/>
          <w:shd w:val="clear" w:color="auto" w:fill="FFFFFF"/>
        </w:rPr>
        <w:t>72.01</w:t>
      </w:r>
      <w:r>
        <w:rPr>
          <w:rFonts w:hint="eastAsia" w:ascii="仿宋_GB2312" w:eastAsia="仿宋_GB2312"/>
          <w:kern w:val="0"/>
          <w:sz w:val="32"/>
          <w:szCs w:val="32"/>
          <w:shd w:val="clear" w:color="auto" w:fill="FFFFFF"/>
          <w:lang w:val="zh-CN"/>
        </w:rPr>
        <w:t>%</w:t>
      </w:r>
      <w:r>
        <w:rPr>
          <w:rFonts w:hint="eastAsia" w:ascii="仿宋_GB2312" w:eastAsia="仿宋_GB2312" w:cs="仿宋"/>
          <w:sz w:val="32"/>
          <w:szCs w:val="32"/>
          <w:lang w:val="zh-CN"/>
        </w:rPr>
        <w:t>。我局按规定开展了绩效监控工作，并及时向区财政金融局报告了监控情况报告。</w:t>
      </w:r>
    </w:p>
    <w:p>
      <w:pPr>
        <w:spacing w:line="560"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6.</w:t>
      </w:r>
      <w:r>
        <w:rPr>
          <w:rFonts w:hint="eastAsia" w:ascii="仿宋_GB2312" w:hAnsi="宋体" w:eastAsia="仿宋_GB2312" w:cs="宋体"/>
          <w:color w:val="000000"/>
          <w:kern w:val="0"/>
          <w:sz w:val="32"/>
          <w:szCs w:val="32"/>
          <w:shd w:val="clear" w:color="auto" w:fill="FFFFFF"/>
          <w:lang w:val="zh-CN"/>
        </w:rPr>
        <w:t>预算完成情况。</w:t>
      </w:r>
      <w:r>
        <w:rPr>
          <w:rFonts w:hint="eastAsia" w:ascii="仿宋_GB2312" w:eastAsia="仿宋_GB2312" w:cs="仿宋"/>
          <w:sz w:val="32"/>
          <w:szCs w:val="32"/>
          <w:lang w:val="zh-CN"/>
        </w:rPr>
        <w:t>202</w:t>
      </w:r>
      <w:r>
        <w:rPr>
          <w:rFonts w:hint="eastAsia" w:ascii="仿宋_GB2312" w:eastAsia="仿宋_GB2312" w:cs="仿宋"/>
          <w:sz w:val="32"/>
          <w:szCs w:val="32"/>
        </w:rPr>
        <w:t>3</w:t>
      </w:r>
      <w:r>
        <w:rPr>
          <w:rFonts w:hint="eastAsia" w:ascii="仿宋_GB2312" w:eastAsia="仿宋_GB2312" w:cs="仿宋"/>
          <w:sz w:val="32"/>
          <w:szCs w:val="32"/>
          <w:lang w:val="zh-CN"/>
        </w:rPr>
        <w:t>年我局全年预算支出</w:t>
      </w:r>
      <w:r>
        <w:rPr>
          <w:rFonts w:hint="eastAsia" w:ascii="仿宋_GB2312" w:eastAsia="仿宋_GB2312" w:cs="仿宋"/>
          <w:sz w:val="32"/>
          <w:szCs w:val="32"/>
        </w:rPr>
        <w:t>618.8万元，</w:t>
      </w:r>
      <w:r>
        <w:rPr>
          <w:rFonts w:hint="eastAsia" w:ascii="仿宋_GB2312" w:eastAsia="仿宋_GB2312" w:cs="仿宋"/>
          <w:sz w:val="32"/>
          <w:szCs w:val="32"/>
          <w:lang w:val="zh-CN"/>
        </w:rPr>
        <w:t>预算执行率为</w:t>
      </w:r>
      <w:r>
        <w:rPr>
          <w:rFonts w:hint="eastAsia" w:ascii="仿宋_GB2312" w:eastAsia="仿宋_GB2312" w:cs="仿宋"/>
          <w:sz w:val="32"/>
          <w:szCs w:val="32"/>
        </w:rPr>
        <w:t>100</w:t>
      </w:r>
      <w:r>
        <w:rPr>
          <w:rFonts w:hint="eastAsia" w:ascii="仿宋_GB2312" w:eastAsia="仿宋_GB2312" w:cs="仿宋"/>
          <w:sz w:val="32"/>
          <w:szCs w:val="32"/>
          <w:lang w:val="zh-CN"/>
        </w:rPr>
        <w:t>%。</w:t>
      </w:r>
    </w:p>
    <w:p>
      <w:pPr>
        <w:spacing w:line="560"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7.</w:t>
      </w:r>
      <w:r>
        <w:rPr>
          <w:rFonts w:hint="eastAsia" w:ascii="仿宋_GB2312" w:hAnsi="宋体" w:eastAsia="仿宋_GB2312" w:cs="宋体"/>
          <w:color w:val="000000"/>
          <w:kern w:val="0"/>
          <w:sz w:val="32"/>
          <w:szCs w:val="32"/>
          <w:shd w:val="clear" w:color="auto" w:fill="FFFFFF"/>
          <w:lang w:val="zh-CN"/>
        </w:rPr>
        <w:t>资金结余率。</w:t>
      </w:r>
      <w:r>
        <w:rPr>
          <w:rFonts w:hint="eastAsia" w:ascii="仿宋_GB2312" w:eastAsia="仿宋_GB2312" w:cs="仿宋"/>
          <w:sz w:val="32"/>
          <w:szCs w:val="32"/>
          <w:lang w:val="zh-CN"/>
        </w:rPr>
        <w:t>202</w:t>
      </w:r>
      <w:r>
        <w:rPr>
          <w:rFonts w:hint="eastAsia" w:ascii="仿宋_GB2312" w:eastAsia="仿宋_GB2312" w:cs="仿宋"/>
          <w:sz w:val="32"/>
          <w:szCs w:val="32"/>
        </w:rPr>
        <w:t>3</w:t>
      </w:r>
      <w:r>
        <w:rPr>
          <w:rFonts w:hint="eastAsia" w:ascii="仿宋_GB2312" w:eastAsia="仿宋_GB2312" w:cs="仿宋"/>
          <w:sz w:val="32"/>
          <w:szCs w:val="32"/>
          <w:lang w:val="zh-CN"/>
        </w:rPr>
        <w:t>年我局全年预算支出</w:t>
      </w:r>
      <w:r>
        <w:rPr>
          <w:rFonts w:hint="eastAsia" w:ascii="仿宋_GB2312" w:eastAsia="仿宋_GB2312" w:cs="仿宋"/>
          <w:sz w:val="32"/>
          <w:szCs w:val="32"/>
        </w:rPr>
        <w:t>618.8万元，</w:t>
      </w:r>
      <w:r>
        <w:rPr>
          <w:rFonts w:hint="eastAsia" w:ascii="仿宋_GB2312" w:eastAsia="仿宋_GB2312" w:cs="仿宋"/>
          <w:sz w:val="32"/>
          <w:szCs w:val="32"/>
          <w:lang w:val="zh-CN"/>
        </w:rPr>
        <w:t>预算执行率为</w:t>
      </w:r>
      <w:r>
        <w:rPr>
          <w:rFonts w:hint="eastAsia" w:ascii="仿宋_GB2312" w:eastAsia="仿宋_GB2312" w:cs="仿宋"/>
          <w:sz w:val="32"/>
          <w:szCs w:val="32"/>
        </w:rPr>
        <w:t>100</w:t>
      </w:r>
      <w:r>
        <w:rPr>
          <w:rFonts w:hint="eastAsia" w:ascii="仿宋_GB2312" w:eastAsia="仿宋_GB2312" w:cs="仿宋"/>
          <w:sz w:val="32"/>
          <w:szCs w:val="32"/>
          <w:lang w:val="zh-CN"/>
        </w:rPr>
        <w:t>%。无结余。</w:t>
      </w:r>
    </w:p>
    <w:p>
      <w:pPr>
        <w:spacing w:line="560" w:lineRule="exact"/>
        <w:ind w:firstLine="640" w:firstLineChars="200"/>
        <w:rPr>
          <w:rFonts w:hint="eastAsia" w:ascii="仿宋_GB2312" w:eastAsia="仿宋_GB2312"/>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8.</w:t>
      </w:r>
      <w:r>
        <w:rPr>
          <w:rFonts w:hint="eastAsia" w:ascii="仿宋_GB2312" w:hAnsi="宋体" w:eastAsia="仿宋_GB2312" w:cs="宋体"/>
          <w:color w:val="000000"/>
          <w:kern w:val="0"/>
          <w:sz w:val="32"/>
          <w:szCs w:val="32"/>
          <w:shd w:val="clear" w:color="auto" w:fill="FFFFFF"/>
          <w:lang w:val="zh-CN"/>
        </w:rPr>
        <w:t>违规记录等情况。</w:t>
      </w:r>
      <w:r>
        <w:rPr>
          <w:rFonts w:hint="eastAsia" w:ascii="仿宋_GB2312" w:eastAsia="仿宋_GB2312" w:cs="仿宋"/>
          <w:sz w:val="32"/>
          <w:szCs w:val="32"/>
          <w:lang w:val="zh-CN"/>
        </w:rPr>
        <w:t>在审计和财政检查中，未发现部门预算管理方面需要整改的问题。</w:t>
      </w:r>
    </w:p>
    <w:p>
      <w:pPr>
        <w:widowControl/>
        <w:adjustRightInd w:val="0"/>
        <w:snapToGrid w:val="0"/>
        <w:spacing w:line="560" w:lineRule="exact"/>
        <w:ind w:firstLine="640" w:firstLineChars="200"/>
        <w:contextualSpacing/>
        <w:rPr>
          <w:rFonts w:hint="eastAsia" w:ascii="楷体_GB2312" w:eastAsia="楷体_GB2312"/>
          <w:color w:val="000000"/>
          <w:kern w:val="0"/>
          <w:sz w:val="32"/>
          <w:szCs w:val="32"/>
          <w:shd w:val="clear" w:color="auto" w:fill="FFFFFF"/>
          <w:lang w:val="zh-CN"/>
        </w:rPr>
      </w:pPr>
      <w:r>
        <w:rPr>
          <w:rFonts w:hint="eastAsia" w:ascii="楷体_GB2312" w:eastAsia="楷体_GB2312"/>
          <w:color w:val="000000"/>
          <w:kern w:val="0"/>
          <w:sz w:val="32"/>
          <w:szCs w:val="32"/>
          <w:shd w:val="clear" w:color="auto" w:fill="FFFFFF"/>
          <w:lang w:val="zh-CN"/>
        </w:rPr>
        <w:t>（二）结果应用情况</w:t>
      </w:r>
    </w:p>
    <w:p>
      <w:pPr>
        <w:widowControl/>
        <w:adjustRightInd w:val="0"/>
        <w:snapToGrid w:val="0"/>
        <w:spacing w:line="560" w:lineRule="exact"/>
        <w:ind w:firstLine="640" w:firstLineChars="200"/>
        <w:contextualSpacing/>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lang w:val="zh-CN"/>
        </w:rPr>
        <w:t>内部应用。</w:t>
      </w:r>
    </w:p>
    <w:p>
      <w:pPr>
        <w:pStyle w:val="25"/>
        <w:spacing w:line="560" w:lineRule="exact"/>
        <w:ind w:firstLine="640"/>
        <w:rPr>
          <w:rFonts w:hint="eastAsia" w:ascii="仿宋_GB2312" w:hAnsi="宋体" w:cs="宋体"/>
          <w:color w:val="000000"/>
          <w:szCs w:val="32"/>
          <w:shd w:val="clear" w:color="auto" w:fill="FFFFFF"/>
        </w:rPr>
      </w:pPr>
      <w:r>
        <w:rPr>
          <w:rFonts w:hint="eastAsia" w:ascii="仿宋_GB2312" w:hAnsi="宋体" w:cs="宋体"/>
          <w:color w:val="000000"/>
          <w:szCs w:val="32"/>
          <w:shd w:val="clear" w:color="auto" w:fill="FFFFFF"/>
          <w:lang w:val="en-US"/>
        </w:rPr>
        <w:t>2.</w:t>
      </w:r>
      <w:r>
        <w:rPr>
          <w:rFonts w:hint="eastAsia" w:ascii="仿宋_GB2312" w:hAnsi="宋体" w:cs="宋体"/>
          <w:color w:val="000000"/>
          <w:szCs w:val="32"/>
          <w:shd w:val="clear" w:color="auto" w:fill="FFFFFF"/>
        </w:rPr>
        <w:t>自评公开。</w:t>
      </w:r>
      <w:r>
        <w:rPr>
          <w:rFonts w:hint="eastAsia" w:ascii="仿宋_GB2312" w:hAnsi="仿宋" w:cs="仿宋"/>
          <w:color w:val="000000"/>
          <w:szCs w:val="32"/>
          <w:lang w:val="en-US" w:bidi="ar"/>
        </w:rPr>
        <w:t>我单位严格按照要求在区财政部门批复二十日后，根据市财政要求按时在经开区信息公开网上公示本绩效目标情况。同时部门整体支出绩效自评报告及其他按要求应公开的绩效信息均已信息公开。</w:t>
      </w:r>
    </w:p>
    <w:p>
      <w:pPr>
        <w:widowControl/>
        <w:adjustRightInd w:val="0"/>
        <w:snapToGrid w:val="0"/>
        <w:spacing w:line="560" w:lineRule="exact"/>
        <w:ind w:firstLine="640" w:firstLineChars="200"/>
        <w:contextualSpacing/>
        <w:rPr>
          <w:rFonts w:hint="eastAsia" w:ascii="仿宋_GB2312" w:eastAsia="仿宋_GB2312"/>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3.</w:t>
      </w:r>
      <w:r>
        <w:rPr>
          <w:rFonts w:hint="eastAsia" w:ascii="仿宋_GB2312" w:hAnsi="宋体" w:eastAsia="仿宋_GB2312" w:cs="宋体"/>
          <w:color w:val="000000"/>
          <w:kern w:val="0"/>
          <w:sz w:val="32"/>
          <w:szCs w:val="32"/>
          <w:shd w:val="clear" w:color="auto" w:fill="FFFFFF"/>
          <w:lang w:val="zh-CN"/>
        </w:rPr>
        <w:t>问题整改和应用反馈等情况。</w:t>
      </w:r>
      <w:r>
        <w:rPr>
          <w:rFonts w:hint="eastAsia" w:ascii="仿宋_GB2312" w:hAnsi="仿宋" w:eastAsia="仿宋_GB2312" w:cs="仿宋"/>
          <w:color w:val="000000"/>
          <w:kern w:val="0"/>
          <w:sz w:val="32"/>
          <w:szCs w:val="32"/>
          <w:lang w:bidi="ar"/>
        </w:rPr>
        <w:t>截至2023年12月底，市场监管分局2023</w:t>
      </w:r>
      <w:r>
        <w:rPr>
          <w:rFonts w:hint="eastAsia" w:ascii="仿宋_GB2312" w:hAnsi="仿宋" w:eastAsia="仿宋_GB2312" w:cs="仿宋"/>
          <w:color w:val="000000"/>
          <w:kern w:val="0"/>
          <w:sz w:val="32"/>
          <w:szCs w:val="32"/>
          <w:lang w:val="zh-CN" w:bidi="ar"/>
        </w:rPr>
        <w:t>年度财政预算绩效管理未查出的问题。</w:t>
      </w:r>
      <w:r>
        <w:rPr>
          <w:rFonts w:hint="eastAsia" w:ascii="仿宋_GB2312" w:eastAsia="仿宋_GB2312"/>
          <w:color w:val="000000"/>
          <w:kern w:val="0"/>
          <w:sz w:val="32"/>
          <w:szCs w:val="32"/>
          <w:lang w:bidi="ar"/>
        </w:rPr>
        <w:t>2023</w:t>
      </w:r>
      <w:r>
        <w:rPr>
          <w:rFonts w:hint="eastAsia" w:ascii="仿宋_GB2312" w:hAnsi="仿宋" w:eastAsia="仿宋_GB2312" w:cs="仿宋"/>
          <w:color w:val="000000"/>
          <w:kern w:val="0"/>
          <w:sz w:val="32"/>
          <w:szCs w:val="32"/>
          <w:lang w:bidi="ar"/>
        </w:rPr>
        <w:t>整体支出自评得分86.23分。自评质量良好。</w:t>
      </w:r>
    </w:p>
    <w:p>
      <w:pPr>
        <w:widowControl/>
        <w:adjustRightInd w:val="0"/>
        <w:snapToGrid w:val="0"/>
        <w:spacing w:line="560" w:lineRule="exact"/>
        <w:ind w:firstLine="640" w:firstLineChars="200"/>
        <w:contextualSpacing/>
        <w:rPr>
          <w:rFonts w:hint="eastAsia"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四、评价结论及建议</w:t>
      </w:r>
    </w:p>
    <w:p>
      <w:pPr>
        <w:widowControl/>
        <w:adjustRightInd w:val="0"/>
        <w:snapToGrid w:val="0"/>
        <w:spacing w:line="560" w:lineRule="exact"/>
        <w:ind w:firstLine="640" w:firstLineChars="200"/>
        <w:contextualSpacing/>
        <w:rPr>
          <w:rFonts w:hint="eastAsia" w:ascii="仿宋_GB2312" w:eastAsia="仿宋_GB2312" w:cs="仿宋"/>
          <w:sz w:val="32"/>
          <w:szCs w:val="32"/>
        </w:rPr>
      </w:pPr>
      <w:r>
        <w:rPr>
          <w:rFonts w:hint="eastAsia" w:ascii="楷体_GB2312" w:eastAsia="楷体_GB2312"/>
          <w:color w:val="000000"/>
          <w:kern w:val="0"/>
          <w:sz w:val="32"/>
          <w:szCs w:val="32"/>
          <w:shd w:val="clear" w:color="auto" w:fill="FFFFFF"/>
          <w:lang w:val="zh-CN"/>
        </w:rPr>
        <w:t>（一）评价结论</w:t>
      </w:r>
    </w:p>
    <w:p>
      <w:pPr>
        <w:widowControl/>
        <w:adjustRightInd w:val="0"/>
        <w:snapToGrid w:val="0"/>
        <w:spacing w:line="560" w:lineRule="exact"/>
        <w:ind w:firstLine="640" w:firstLineChars="200"/>
        <w:contextualSpacing/>
        <w:rPr>
          <w:rFonts w:hint="eastAsia" w:ascii="仿宋_GB2312" w:eastAsia="仿宋_GB2312"/>
          <w:color w:val="000000"/>
          <w:kern w:val="0"/>
          <w:sz w:val="32"/>
          <w:szCs w:val="32"/>
          <w:shd w:val="clear" w:color="auto" w:fill="FFFFFF"/>
          <w:lang w:val="zh-CN"/>
        </w:rPr>
      </w:pPr>
      <w:r>
        <w:rPr>
          <w:rFonts w:hint="eastAsia" w:ascii="仿宋_GB2312" w:eastAsia="仿宋_GB2312" w:cs="仿宋"/>
          <w:sz w:val="32"/>
          <w:szCs w:val="32"/>
        </w:rPr>
        <w:t>2023年，我局围绕大局、服务中心，认真履行职能职责，基本完成了各项目标任务。依照《2023年区级部门整体预算绩效评价指标体系》，对部门整体支出绩效进行自评，从评价情况来看，我局部门预算整体绩效总体合格，预算编制质量较高，绩效目标明确，预算执行及综合管理较好，自评为86.23分（详见附表）</w:t>
      </w:r>
    </w:p>
    <w:p>
      <w:pPr>
        <w:widowControl/>
        <w:adjustRightInd w:val="0"/>
        <w:snapToGrid w:val="0"/>
        <w:spacing w:line="560" w:lineRule="exact"/>
        <w:ind w:firstLine="640" w:firstLineChars="200"/>
        <w:contextualSpacing/>
        <w:rPr>
          <w:rFonts w:hint="eastAsia" w:ascii="楷体_GB2312" w:eastAsia="楷体_GB2312"/>
          <w:color w:val="000000"/>
          <w:kern w:val="0"/>
          <w:sz w:val="32"/>
          <w:szCs w:val="32"/>
          <w:shd w:val="clear" w:color="auto" w:fill="FFFFFF"/>
          <w:lang w:val="zh-CN"/>
        </w:rPr>
      </w:pPr>
      <w:r>
        <w:rPr>
          <w:rFonts w:hint="eastAsia" w:ascii="楷体_GB2312" w:eastAsia="楷体_GB2312"/>
          <w:color w:val="000000"/>
          <w:kern w:val="0"/>
          <w:sz w:val="32"/>
          <w:szCs w:val="32"/>
          <w:shd w:val="clear" w:color="auto" w:fill="FFFFFF"/>
          <w:lang w:val="zh-CN"/>
        </w:rPr>
        <w:t>（二）存在问题</w:t>
      </w:r>
    </w:p>
    <w:p>
      <w:pPr>
        <w:spacing w:line="560" w:lineRule="exact"/>
        <w:ind w:firstLine="640" w:firstLineChars="200"/>
        <w:rPr>
          <w:rFonts w:hint="eastAsia" w:ascii="仿宋_GB2312" w:eastAsia="仿宋_GB2312" w:cs="仿宋"/>
          <w:sz w:val="32"/>
          <w:szCs w:val="32"/>
          <w:lang w:val="zh-CN"/>
        </w:rPr>
      </w:pPr>
      <w:r>
        <w:rPr>
          <w:rFonts w:hint="eastAsia" w:ascii="仿宋_GB2312" w:eastAsia="仿宋_GB2312" w:cs="仿宋"/>
          <w:sz w:val="32"/>
          <w:szCs w:val="32"/>
        </w:rPr>
        <w:t>1.部门年初预算编制不够科学、准确，</w:t>
      </w:r>
      <w:r>
        <w:rPr>
          <w:rFonts w:hint="eastAsia" w:ascii="仿宋_GB2312" w:eastAsia="仿宋_GB2312" w:cs="仿宋"/>
          <w:sz w:val="32"/>
          <w:szCs w:val="32"/>
          <w:lang w:val="zh-CN"/>
        </w:rPr>
        <w:t>部门公用经费及非定额公用支出预算编制精细度不够。</w:t>
      </w:r>
    </w:p>
    <w:p>
      <w:pPr>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2.部门预算执行进度不均衡，由于项目资金拨付较晚，安排费用支出时往往存在“前紧后松”现象。</w:t>
      </w:r>
    </w:p>
    <w:p>
      <w:pPr>
        <w:spacing w:line="560" w:lineRule="exact"/>
        <w:ind w:firstLine="640" w:firstLineChars="200"/>
        <w:rPr>
          <w:rFonts w:hint="eastAsia" w:ascii="仿宋_GB2312" w:eastAsia="仿宋_GB2312"/>
          <w:color w:val="000000"/>
          <w:kern w:val="0"/>
          <w:sz w:val="32"/>
          <w:szCs w:val="32"/>
          <w:shd w:val="clear" w:color="auto" w:fill="FFFFFF"/>
          <w:lang w:val="zh-CN"/>
        </w:rPr>
      </w:pPr>
      <w:r>
        <w:rPr>
          <w:rFonts w:hint="eastAsia" w:ascii="仿宋_GB2312" w:eastAsia="仿宋_GB2312" w:cs="仿宋"/>
          <w:sz w:val="32"/>
          <w:szCs w:val="32"/>
        </w:rPr>
        <w:t>3.</w:t>
      </w:r>
      <w:r>
        <w:rPr>
          <w:rFonts w:hint="eastAsia" w:ascii="仿宋_GB2312" w:eastAsia="仿宋_GB2312" w:cs="仿宋"/>
          <w:sz w:val="32"/>
          <w:szCs w:val="32"/>
          <w:lang w:val="zh-CN"/>
        </w:rPr>
        <w:t>部分项目由于批复较晚、审批流程、合同跨年等原因，结算支出时间滞后，导致预算执行率低。</w:t>
      </w:r>
    </w:p>
    <w:p>
      <w:pPr>
        <w:spacing w:line="560" w:lineRule="exact"/>
        <w:ind w:firstLine="640" w:firstLineChars="200"/>
        <w:rPr>
          <w:rFonts w:hint="eastAsia" w:ascii="楷体_GB2312" w:eastAsia="楷体_GB2312"/>
          <w:color w:val="000000"/>
          <w:kern w:val="0"/>
          <w:sz w:val="32"/>
          <w:szCs w:val="32"/>
          <w:shd w:val="clear" w:color="auto" w:fill="FFFFFF"/>
          <w:lang w:val="zh-CN"/>
        </w:rPr>
      </w:pPr>
      <w:r>
        <w:rPr>
          <w:rFonts w:hint="eastAsia" w:ascii="楷体_GB2312" w:eastAsia="楷体_GB2312"/>
          <w:color w:val="000000"/>
          <w:kern w:val="0"/>
          <w:sz w:val="32"/>
          <w:szCs w:val="32"/>
          <w:shd w:val="clear" w:color="auto" w:fill="FFFFFF"/>
          <w:lang w:val="zh-CN"/>
        </w:rPr>
        <w:t>（三）改进建议</w:t>
      </w:r>
    </w:p>
    <w:p>
      <w:pPr>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1.进一步细化预算编制内容，提高预算编制的科学性、合理性、准确性。</w:t>
      </w:r>
    </w:p>
    <w:p>
      <w:pPr>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2.加大对预算执行进度的管控工作，定期梳理预算经费支出进度，分析存在原因，提出解决措施，尽可能避免预算执行不均衡。</w:t>
      </w:r>
    </w:p>
    <w:p>
      <w:pPr>
        <w:spacing w:line="560" w:lineRule="exact"/>
        <w:ind w:firstLine="640" w:firstLineChars="200"/>
        <w:rPr>
          <w:rFonts w:hint="eastAsia" w:ascii="仿宋_GB2312" w:eastAsia="仿宋_GB2312" w:cs="仿宋"/>
          <w:sz w:val="32"/>
          <w:szCs w:val="32"/>
        </w:rPr>
      </w:pPr>
      <w:r>
        <w:rPr>
          <w:rFonts w:hint="eastAsia" w:ascii="仿宋_GB2312" w:eastAsia="仿宋_GB2312" w:cs="仿宋"/>
          <w:sz w:val="32"/>
          <w:szCs w:val="32"/>
        </w:rPr>
        <w:t>3.加强对各项目申报编制部门相关工作人员的绩效编制工作业务培训。</w:t>
      </w:r>
    </w:p>
    <w:p>
      <w:pPr>
        <w:spacing w:line="560" w:lineRule="exact"/>
        <w:ind w:firstLine="640" w:firstLineChars="200"/>
        <w:rPr>
          <w:rFonts w:hint="eastAsia" w:ascii="仿宋_GB2312" w:eastAsia="仿宋_GB2312" w:cs="仿宋"/>
          <w:sz w:val="32"/>
          <w:szCs w:val="32"/>
        </w:rPr>
      </w:pPr>
    </w:p>
    <w:p>
      <w:pPr>
        <w:spacing w:line="560" w:lineRule="exact"/>
        <w:ind w:firstLine="640" w:firstLineChars="200"/>
        <w:rPr>
          <w:rFonts w:hint="eastAsia" w:ascii="仿宋_GB2312" w:eastAsia="仿宋_GB2312" w:cs="仿宋"/>
          <w:sz w:val="32"/>
          <w:szCs w:val="32"/>
        </w:rPr>
      </w:pPr>
    </w:p>
    <w:p>
      <w:pPr>
        <w:spacing w:line="560" w:lineRule="exact"/>
        <w:ind w:firstLine="640" w:firstLineChars="200"/>
        <w:rPr>
          <w:rFonts w:hint="eastAsia" w:ascii="仿宋_GB2312" w:eastAsia="仿宋_GB2312" w:cs="仿宋"/>
          <w:sz w:val="32"/>
          <w:szCs w:val="32"/>
        </w:rPr>
      </w:pPr>
    </w:p>
    <w:p>
      <w:pPr>
        <w:spacing w:line="560" w:lineRule="exact"/>
        <w:ind w:firstLine="640" w:firstLineChars="200"/>
        <w:rPr>
          <w:rFonts w:hint="eastAsia" w:ascii="仿宋_GB2312" w:eastAsia="仿宋_GB2312" w:cs="仿宋"/>
          <w:sz w:val="32"/>
          <w:szCs w:val="32"/>
        </w:rPr>
      </w:pPr>
    </w:p>
    <w:p>
      <w:pPr>
        <w:spacing w:line="560" w:lineRule="exact"/>
        <w:ind w:firstLine="640" w:firstLineChars="200"/>
        <w:rPr>
          <w:rFonts w:hint="eastAsia" w:ascii="仿宋_GB2312" w:eastAsia="仿宋_GB2312" w:cs="仿宋"/>
          <w:sz w:val="32"/>
          <w:szCs w:val="32"/>
        </w:rPr>
      </w:pPr>
    </w:p>
    <w:p>
      <w:pPr>
        <w:spacing w:line="560" w:lineRule="exact"/>
        <w:ind w:firstLine="640" w:firstLineChars="200"/>
        <w:rPr>
          <w:rFonts w:hint="eastAsia" w:ascii="仿宋_GB2312" w:eastAsia="仿宋_GB2312" w:cs="仿宋"/>
          <w:sz w:val="32"/>
          <w:szCs w:val="32"/>
        </w:rPr>
      </w:pPr>
    </w:p>
    <w:p>
      <w:pPr>
        <w:spacing w:line="560" w:lineRule="exact"/>
        <w:rPr>
          <w:rFonts w:hint="eastAsia" w:ascii="仿宋_GB2312" w:eastAsia="仿宋_GB2312" w:cs="仿宋"/>
          <w:sz w:val="32"/>
          <w:szCs w:val="32"/>
        </w:rPr>
        <w:sectPr>
          <w:headerReference r:id="rId4" w:type="default"/>
          <w:footerReference r:id="rId5" w:type="default"/>
          <w:pgSz w:w="11906" w:h="16838"/>
          <w:pgMar w:top="1440" w:right="1800" w:bottom="1440" w:left="1180" w:header="851" w:footer="992" w:gutter="0"/>
          <w:pgNumType w:fmt="decimal" w:start="1"/>
          <w:cols w:space="720" w:num="1"/>
          <w:docGrid w:type="lines" w:linePitch="312" w:charSpace="0"/>
        </w:sectPr>
      </w:pPr>
    </w:p>
    <w:tbl>
      <w:tblPr>
        <w:tblStyle w:val="15"/>
        <w:tblW w:w="5322" w:type="pct"/>
        <w:tblInd w:w="-3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1306"/>
        <w:gridCol w:w="1003"/>
        <w:gridCol w:w="1558"/>
        <w:gridCol w:w="390"/>
        <w:gridCol w:w="606"/>
        <w:gridCol w:w="419"/>
        <w:gridCol w:w="712"/>
        <w:gridCol w:w="240"/>
        <w:gridCol w:w="372"/>
        <w:gridCol w:w="360"/>
        <w:gridCol w:w="2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3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51090822T000000438353-特种设备安全监管经费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bookmarkStart w:id="43" w:name="OLE_LINK43" w:colFirst="2" w:colLast="3"/>
            <w:r>
              <w:rPr>
                <w:rFonts w:hint="eastAsia" w:ascii="宋体" w:hAnsi="宋体" w:eastAsia="宋体" w:cs="宋体"/>
                <w:i w:val="0"/>
                <w:iCs w:val="0"/>
                <w:color w:val="000000"/>
                <w:kern w:val="0"/>
                <w:sz w:val="18"/>
                <w:szCs w:val="18"/>
                <w:u w:val="none"/>
                <w:lang w:val="en-US" w:eastAsia="zh-CN" w:bidi="ar"/>
              </w:rPr>
              <w:t>主管部门</w:t>
            </w:r>
          </w:p>
        </w:tc>
        <w:tc>
          <w:tcPr>
            <w:tcW w:w="20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遂宁市市场监督管理局经开区分局部门</w:t>
            </w:r>
          </w:p>
        </w:tc>
        <w:tc>
          <w:tcPr>
            <w:tcW w:w="489" w:type="pct"/>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bookmarkStart w:id="44" w:name="OLE_LINK2"/>
            <w:r>
              <w:rPr>
                <w:rFonts w:hint="eastAsia" w:ascii="宋体" w:hAnsi="宋体" w:eastAsia="宋体" w:cs="宋体"/>
                <w:i w:val="0"/>
                <w:iCs w:val="0"/>
                <w:color w:val="000000"/>
                <w:kern w:val="0"/>
                <w:sz w:val="16"/>
                <w:szCs w:val="16"/>
                <w:u w:val="none"/>
                <w:lang w:val="en-US" w:eastAsia="zh-CN" w:bidi="ar"/>
              </w:rPr>
              <w:t>实施单位 （盖章）</w:t>
            </w:r>
            <w:bookmarkEnd w:id="44"/>
          </w:p>
        </w:tc>
        <w:tc>
          <w:tcPr>
            <w:tcW w:w="14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45" w:name="OLE_LINK3"/>
            <w:r>
              <w:rPr>
                <w:rFonts w:hint="eastAsia" w:ascii="宋体" w:hAnsi="宋体" w:eastAsia="宋体" w:cs="宋体"/>
                <w:i w:val="0"/>
                <w:iCs w:val="0"/>
                <w:color w:val="000000"/>
                <w:kern w:val="0"/>
                <w:sz w:val="18"/>
                <w:szCs w:val="18"/>
                <w:u w:val="none"/>
                <w:lang w:val="en-US" w:eastAsia="zh-CN" w:bidi="ar"/>
              </w:rPr>
              <w:t>遂宁市市场监督管理局经开区分局</w:t>
            </w:r>
            <w:bookmarkEnd w:id="45"/>
          </w:p>
        </w:tc>
      </w:tr>
      <w:bookmarkEnd w:id="43"/>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0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9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exac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2023年预计使用9万元用于开展特种设备专家巡诊、宣传、培训等活动，进一步加强特种设备安全监管，防止和减少特种设备事故发生。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19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全面加特种设备安全监管，增强生产经营单位落实安全主体责任的能力，并荣获特种设备安全隐患排查治理先进单位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bookmarkStart w:id="46" w:name="OLE_LINK6"/>
            <w:r>
              <w:rPr>
                <w:rFonts w:hint="eastAsia" w:ascii="宋体" w:hAnsi="宋体" w:eastAsia="宋体" w:cs="宋体"/>
                <w:i w:val="0"/>
                <w:iCs w:val="0"/>
                <w:color w:val="000000"/>
                <w:kern w:val="0"/>
                <w:sz w:val="16"/>
                <w:szCs w:val="16"/>
                <w:u w:val="none"/>
                <w:lang w:val="en-US" w:eastAsia="zh-CN" w:bidi="ar"/>
              </w:rPr>
              <w:t>2.项目实施内容及过程概述</w:t>
            </w:r>
            <w:bookmarkEnd w:id="46"/>
          </w:p>
        </w:tc>
        <w:tc>
          <w:tcPr>
            <w:tcW w:w="403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bookmarkStart w:id="47" w:name="OLE_LINK4" w:colFirst="7" w:colLast="8"/>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u w:val="none"/>
              </w:rPr>
            </w:pPr>
            <w:bookmarkStart w:id="48" w:name="OLE_LINK1"/>
            <w:r>
              <w:rPr>
                <w:rFonts w:hint="eastAsia" w:ascii="宋体" w:hAnsi="宋体" w:eastAsia="宋体" w:cs="宋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bookmarkEnd w:id="48"/>
          </w:p>
        </w:tc>
      </w:tr>
      <w:bookmarkEnd w:id="4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开展专家巡诊</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家/年</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建立高质量巡诊台账</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高质量</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及时开展特种设备监管活动</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区内企业安全无重大事故生产</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49" w:name="OLE_LINK5"/>
            <w:r>
              <w:rPr>
                <w:rFonts w:hint="eastAsia" w:ascii="宋体" w:hAnsi="宋体" w:eastAsia="宋体" w:cs="宋体"/>
                <w:i w:val="0"/>
                <w:iCs w:val="0"/>
                <w:color w:val="000000"/>
                <w:kern w:val="0"/>
                <w:sz w:val="16"/>
                <w:szCs w:val="16"/>
                <w:u w:val="none"/>
                <w:lang w:val="en-US" w:eastAsia="zh-CN" w:bidi="ar"/>
              </w:rPr>
              <w:t>可持续影响指标</w:t>
            </w:r>
            <w:bookmarkEnd w:id="49"/>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降低特种事故发生率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持续降低</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持续降低</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受益对象满意度</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每次专家巡诊费用</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未使用费用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337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bookmarkStart w:id="50" w:name="OLE_LINK7"/>
            <w:r>
              <w:rPr>
                <w:rFonts w:ascii="宋体" w:hAnsi="宋体" w:eastAsia="宋体" w:cs="宋体"/>
                <w:i w:val="0"/>
                <w:iCs w:val="0"/>
                <w:color w:val="000000"/>
                <w:kern w:val="0"/>
                <w:sz w:val="18"/>
                <w:szCs w:val="18"/>
                <w:u w:val="none"/>
                <w:lang w:val="en-US" w:eastAsia="zh-CN" w:bidi="ar"/>
              </w:rPr>
              <w:t>合计</w:t>
            </w:r>
          </w:p>
        </w:tc>
        <w:tc>
          <w:tcPr>
            <w:tcW w:w="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bookmarkEnd w:id="50"/>
    </w:tbl>
    <w:p/>
    <w:tbl>
      <w:tblPr>
        <w:tblStyle w:val="15"/>
        <w:tblW w:w="5350" w:type="pct"/>
        <w:tblInd w:w="-2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2"/>
        <w:gridCol w:w="970"/>
        <w:gridCol w:w="1176"/>
        <w:gridCol w:w="1548"/>
        <w:gridCol w:w="557"/>
        <w:gridCol w:w="619"/>
        <w:gridCol w:w="94"/>
        <w:gridCol w:w="424"/>
        <w:gridCol w:w="1124"/>
        <w:gridCol w:w="168"/>
        <w:gridCol w:w="336"/>
        <w:gridCol w:w="360"/>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trPr>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26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51090822T000004907313-执法办案经费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bookmarkStart w:id="51" w:name="OLE_LINK13" w:colFirst="2" w:colLast="3"/>
            <w:r>
              <w:rPr>
                <w:rFonts w:hint="eastAsia" w:ascii="宋体" w:hAnsi="宋体" w:eastAsia="宋体" w:cs="宋体"/>
                <w:i w:val="0"/>
                <w:iCs w:val="0"/>
                <w:color w:val="000000"/>
                <w:kern w:val="0"/>
                <w:sz w:val="18"/>
                <w:szCs w:val="18"/>
                <w:u w:val="none"/>
                <w:lang w:val="en-US" w:eastAsia="zh-CN" w:bidi="ar"/>
              </w:rPr>
              <w:t>主管部门</w:t>
            </w:r>
          </w:p>
        </w:tc>
        <w:tc>
          <w:tcPr>
            <w:tcW w:w="20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遂宁市市场监督管理局经开区分局部门</w:t>
            </w:r>
          </w:p>
        </w:tc>
        <w:tc>
          <w:tcPr>
            <w:tcW w:w="877" w:type="pct"/>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实施单位 </w:t>
            </w:r>
            <w:bookmarkStart w:id="52" w:name="OLE_LINK12"/>
            <w:r>
              <w:rPr>
                <w:rFonts w:hint="eastAsia" w:ascii="宋体" w:hAnsi="宋体" w:eastAsia="宋体" w:cs="宋体"/>
                <w:i w:val="0"/>
                <w:iCs w:val="0"/>
                <w:color w:val="000000"/>
                <w:kern w:val="0"/>
                <w:sz w:val="16"/>
                <w:szCs w:val="16"/>
                <w:u w:val="none"/>
                <w:lang w:val="en-US" w:eastAsia="zh-CN" w:bidi="ar"/>
              </w:rPr>
              <w:t>（盖章）</w:t>
            </w:r>
            <w:bookmarkEnd w:id="52"/>
          </w:p>
        </w:tc>
        <w:tc>
          <w:tcPr>
            <w:tcW w:w="13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遂宁市市场监督管理局经开区分局</w:t>
            </w:r>
          </w:p>
        </w:tc>
      </w:tr>
      <w:bookmarkEnd w:id="51"/>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trPr>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0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2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2023年，预算8万元，开展食品药品安全、价格监督、质量监管、综合执法等市场秩序执法专项工作，提高综合行政执法办案水平。</w:t>
            </w:r>
          </w:p>
        </w:tc>
        <w:tc>
          <w:tcPr>
            <w:tcW w:w="222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bookmarkStart w:id="53" w:name="OLE_LINK11"/>
            <w:r>
              <w:rPr>
                <w:rFonts w:hint="eastAsia" w:ascii="宋体" w:hAnsi="宋体" w:eastAsia="宋体" w:cs="宋体"/>
                <w:i w:val="0"/>
                <w:iCs w:val="0"/>
                <w:color w:val="000000"/>
                <w:kern w:val="0"/>
                <w:sz w:val="16"/>
                <w:szCs w:val="16"/>
                <w:u w:val="none"/>
                <w:lang w:val="en-US" w:eastAsia="zh-CN" w:bidi="ar"/>
              </w:rPr>
              <w:t>加大案件查处力度，深入开展市场监管执法，目前全局共立案92件，结案92件，罚没款42万余元。其中10万元以上大要案1件，查处商标侵权案件1件，办理知识产权纠纷调解案件6件。</w:t>
            </w:r>
            <w:bookmarkEnd w:id="5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bookmarkStart w:id="54" w:name="OLE_LINK14" w:colFirst="1" w:colLast="2"/>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bookmarkStart w:id="55" w:name="OLE_LINK10"/>
            <w:r>
              <w:rPr>
                <w:rFonts w:hint="eastAsia" w:ascii="宋体" w:hAnsi="宋体" w:eastAsia="宋体" w:cs="宋体"/>
                <w:i w:val="0"/>
                <w:iCs w:val="0"/>
                <w:color w:val="000000"/>
                <w:kern w:val="0"/>
                <w:sz w:val="18"/>
                <w:szCs w:val="18"/>
                <w:u w:val="none"/>
                <w:lang w:val="en-US" w:eastAsia="zh-CN" w:bidi="ar"/>
              </w:rPr>
              <w:t>2.项目实施内容及过程概述</w:t>
            </w:r>
            <w:bookmarkEnd w:id="55"/>
          </w:p>
        </w:tc>
        <w:tc>
          <w:tcPr>
            <w:tcW w:w="426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bookmarkEnd w:id="5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bookmarkStart w:id="56" w:name="OLE_LINK9" w:colFirst="7" w:colLast="8"/>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w:t>
            </w:r>
          </w:p>
        </w:tc>
        <w:tc>
          <w:tcPr>
            <w:tcW w:w="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bookmarkStart w:id="57" w:name="OLE_LINK8"/>
            <w:r>
              <w:rPr>
                <w:rFonts w:hint="eastAsia" w:ascii="宋体" w:hAnsi="宋体" w:eastAsia="宋体" w:cs="宋体"/>
                <w:i w:val="0"/>
                <w:iCs w:val="0"/>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bookmarkEnd w:id="5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w:t>
            </w:r>
          </w:p>
        </w:tc>
        <w:tc>
          <w:tcPr>
            <w:tcW w:w="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bookmarkEnd w:id="5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开展执法培训</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租用罚没物资仓储库</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个（套）</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bookmarkStart w:id="58" w:name="OLE_LINK15" w:colFirst="6" w:colLast="10"/>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案卷合法执行率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开展执法专项时效</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提高综合行政执法水平</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逐步提高</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降低区内市场监管类违法行为</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逐步降低</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逐步降低</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区内群众对执法行为满意率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bookmarkEnd w:id="58"/>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 w:hRule="atLeast"/>
        </w:trPr>
        <w:tc>
          <w:tcPr>
            <w:tcW w:w="356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
    <w:p/>
    <w:tbl>
      <w:tblPr>
        <w:tblStyle w:val="15"/>
        <w:tblW w:w="512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047"/>
        <w:gridCol w:w="1293"/>
        <w:gridCol w:w="1395"/>
        <w:gridCol w:w="540"/>
        <w:gridCol w:w="660"/>
        <w:gridCol w:w="186"/>
        <w:gridCol w:w="582"/>
        <w:gridCol w:w="530"/>
        <w:gridCol w:w="142"/>
        <w:gridCol w:w="299"/>
        <w:gridCol w:w="595"/>
        <w:gridCol w:w="1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59" w:name="OLE_LINK44"/>
            <w:r>
              <w:rPr>
                <w:rFonts w:hint="eastAsia" w:ascii="黑体" w:hAnsi="宋体" w:eastAsia="黑体" w:cs="黑体"/>
                <w:b/>
                <w:bCs/>
                <w:i w:val="0"/>
                <w:iCs w:val="0"/>
                <w:color w:val="000000"/>
                <w:kern w:val="0"/>
                <w:sz w:val="28"/>
                <w:szCs w:val="28"/>
                <w:u w:val="none"/>
                <w:lang w:val="en-US" w:eastAsia="zh-CN" w:bidi="ar"/>
              </w:rPr>
              <w:t>部门预算项目支出绩效自评表（2023年度）</w:t>
            </w:r>
            <w:bookmarkEnd w:id="5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416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51090822T000004907321-放心舒心消费城市创建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bookmarkStart w:id="60" w:name="OLE_LINK46" w:colFirst="2" w:colLast="3"/>
            <w:bookmarkStart w:id="61" w:name="OLE_LINK45" w:colFirst="1" w:colLast="3"/>
            <w:r>
              <w:rPr>
                <w:rFonts w:hint="eastAsia" w:ascii="宋体" w:hAnsi="宋体" w:eastAsia="宋体" w:cs="宋体"/>
                <w:i w:val="0"/>
                <w:iCs w:val="0"/>
                <w:color w:val="000000"/>
                <w:kern w:val="0"/>
                <w:sz w:val="15"/>
                <w:szCs w:val="15"/>
                <w:u w:val="none"/>
                <w:lang w:val="en-US" w:eastAsia="zh-CN" w:bidi="ar"/>
              </w:rPr>
              <w:t>主管部门</w:t>
            </w:r>
          </w:p>
        </w:tc>
        <w:tc>
          <w:tcPr>
            <w:tcW w:w="20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遂宁市市场监督管理局经开区分局部门</w:t>
            </w:r>
          </w:p>
        </w:tc>
        <w:tc>
          <w:tcPr>
            <w:tcW w:w="767"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实施单位 （盖章）</w:t>
            </w:r>
          </w:p>
        </w:tc>
        <w:tc>
          <w:tcPr>
            <w:tcW w:w="1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遂宁市市场监督管理局经开区分局</w:t>
            </w:r>
          </w:p>
        </w:tc>
      </w:tr>
      <w:bookmarkEnd w:id="6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项目基本情况</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20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项目年度目标</w:t>
            </w:r>
          </w:p>
        </w:tc>
        <w:tc>
          <w:tcPr>
            <w:tcW w:w="20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20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预计投入5万元，通过“政府主导、企业主体、群众参与、社会监督”方式，开展宣传、考评，完成2022年度创建放心舒心消费城市工作任务，实现“绿色消费、放心舒心在遂宁”总体目标，在2022年度创建工作目标绩效考核中取得优异成绩。</w:t>
            </w:r>
          </w:p>
        </w:tc>
        <w:tc>
          <w:tcPr>
            <w:tcW w:w="209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bookmarkStart w:id="62" w:name="OLE_LINK16"/>
            <w:r>
              <w:rPr>
                <w:rFonts w:hint="eastAsia" w:ascii="宋体" w:hAnsi="宋体" w:eastAsia="宋体" w:cs="宋体"/>
                <w:i w:val="0"/>
                <w:iCs w:val="0"/>
                <w:color w:val="000000"/>
                <w:kern w:val="0"/>
                <w:sz w:val="15"/>
                <w:szCs w:val="15"/>
                <w:u w:val="none"/>
                <w:lang w:val="en-US" w:eastAsia="zh-CN" w:bidi="ar"/>
              </w:rPr>
              <w:t>开展“提振消费信心”3.15宣传活动暨侵权假冒商品、过期伪劣食品和“两品一械”等案件罚没物品集中销毁活动，提升群众消费维权意识，活动中发放资料8000余份，销毁罚没物品货值4万余元；受理群众投诉举报2900余条，涉及食品、药品、消费维权等事项，有效回复率100%，帮助群众挽回经济损失10万余元</w:t>
            </w:r>
            <w:bookmarkEnd w:id="62"/>
          </w:p>
        </w:tc>
      </w:tr>
      <w:bookmarkEnd w:id="61"/>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416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预算执行情况（10分）</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年度预算数（万元）</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年初预算</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调整后预算数</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预算执行数</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预算执行率</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总额</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2.05</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2.05</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其中：财政资金</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2.05</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2.05</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财政专户管理资金</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单位资金</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其他资金</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5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绩效指标（90分）</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指标性质</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度量单位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完成值</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权重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开展放心舒心消费宣传</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次/年</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完成年度放心舒心消费城市评测</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完成考评时限</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月</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消费环境持续优化</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持续优化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持续优化</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可持续影响指标</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放心舒心消费影响年限</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受益群体满意率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每次开展宣传费用</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万元</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9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bl>
    <w:p>
      <w:pPr>
        <w:rPr>
          <w:rFonts w:hint="eastAsia" w:ascii="宋体" w:hAnsi="宋体" w:eastAsia="宋体" w:cs="宋体"/>
        </w:rPr>
      </w:pPr>
    </w:p>
    <w:tbl>
      <w:tblPr>
        <w:tblStyle w:val="15"/>
        <w:tblW w:w="5316" w:type="pct"/>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
        <w:gridCol w:w="552"/>
        <w:gridCol w:w="52"/>
        <w:gridCol w:w="992"/>
        <w:gridCol w:w="156"/>
        <w:gridCol w:w="1080"/>
        <w:gridCol w:w="187"/>
        <w:gridCol w:w="1217"/>
        <w:gridCol w:w="216"/>
        <w:gridCol w:w="408"/>
        <w:gridCol w:w="216"/>
        <w:gridCol w:w="108"/>
        <w:gridCol w:w="312"/>
        <w:gridCol w:w="276"/>
        <w:gridCol w:w="341"/>
        <w:gridCol w:w="187"/>
        <w:gridCol w:w="457"/>
        <w:gridCol w:w="119"/>
        <w:gridCol w:w="11"/>
        <w:gridCol w:w="253"/>
        <w:gridCol w:w="176"/>
        <w:gridCol w:w="124"/>
        <w:gridCol w:w="242"/>
        <w:gridCol w:w="190"/>
        <w:gridCol w:w="1764"/>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630" w:hRule="atLeast"/>
        </w:trPr>
        <w:tc>
          <w:tcPr>
            <w:tcW w:w="499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4"/>
                <w:szCs w:val="24"/>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pct"/>
          <w:trHeight w:val="286" w:hRule="atLeast"/>
        </w:trPr>
        <w:tc>
          <w:tcPr>
            <w:tcW w:w="9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5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51090822T000004907355-打击传销工作经费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512" w:hRule="atLeast"/>
        </w:trPr>
        <w:tc>
          <w:tcPr>
            <w:tcW w:w="9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33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遂宁市市场监督管理局经开区分局部门</w:t>
            </w:r>
          </w:p>
        </w:tc>
        <w:tc>
          <w:tcPr>
            <w:tcW w:w="432"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bookmarkStart w:id="63" w:name="OLE_LINK20"/>
            <w:r>
              <w:rPr>
                <w:rFonts w:hint="eastAsia" w:ascii="宋体" w:hAnsi="宋体" w:eastAsia="宋体" w:cs="宋体"/>
                <w:i w:val="0"/>
                <w:iCs w:val="0"/>
                <w:color w:val="000000"/>
                <w:kern w:val="0"/>
                <w:sz w:val="16"/>
                <w:szCs w:val="16"/>
                <w:u w:val="none"/>
                <w:lang w:val="en-US" w:eastAsia="zh-CN" w:bidi="ar"/>
              </w:rPr>
              <w:t>实施单位 （盖章）</w:t>
            </w:r>
            <w:bookmarkEnd w:id="63"/>
          </w:p>
        </w:tc>
        <w:tc>
          <w:tcPr>
            <w:tcW w:w="12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遂宁市市场监督管理局经开区分局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86" w:hRule="atLeast"/>
        </w:trPr>
        <w:tc>
          <w:tcPr>
            <w:tcW w:w="34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bookmarkStart w:id="64" w:name="OLE_LINK18" w:colFirst="0" w:colLast="1"/>
            <w:r>
              <w:rPr>
                <w:rFonts w:hint="eastAsia" w:ascii="宋体" w:hAnsi="宋体" w:eastAsia="宋体" w:cs="宋体"/>
                <w:i w:val="0"/>
                <w:iCs w:val="0"/>
                <w:color w:val="000000"/>
                <w:kern w:val="0"/>
                <w:sz w:val="18"/>
                <w:szCs w:val="18"/>
                <w:u w:val="none"/>
                <w:lang w:val="en-US" w:eastAsia="zh-CN" w:bidi="ar"/>
              </w:rPr>
              <w:t>项目基本情况</w:t>
            </w:r>
          </w:p>
        </w:tc>
        <w:tc>
          <w:tcPr>
            <w:tcW w:w="5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33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1082" w:hRule="atLeast"/>
        </w:trPr>
        <w:tc>
          <w:tcPr>
            <w:tcW w:w="3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3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2023年预计投入3万预算资金，通过“党委、政府统一领导，部门协同配合、齐抓共管、各负其责”方式，完成2023年度打击传销综合治理工作任务，使传销活动进一步减少，维护社会稳定和社会经济秩序。</w:t>
            </w:r>
          </w:p>
        </w:tc>
        <w:tc>
          <w:tcPr>
            <w:tcW w:w="17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对涉及养生讲座、健康讲座、会销场所及老年人集中场所进行摸排，捣毁传销窝点一个，教育、遣返涉传人员10名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75" w:hRule="atLeast"/>
        </w:trPr>
        <w:tc>
          <w:tcPr>
            <w:tcW w:w="3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bookmarkStart w:id="65" w:name="OLE_LINK19"/>
            <w:r>
              <w:rPr>
                <w:rFonts w:hint="eastAsia" w:ascii="宋体" w:hAnsi="宋体" w:eastAsia="宋体" w:cs="宋体"/>
                <w:i w:val="0"/>
                <w:iCs w:val="0"/>
                <w:color w:val="000000"/>
                <w:kern w:val="0"/>
                <w:sz w:val="15"/>
                <w:szCs w:val="15"/>
                <w:u w:val="none"/>
                <w:lang w:val="en-US" w:eastAsia="zh-CN" w:bidi="ar"/>
              </w:rPr>
              <w:t>2.项目实施内容及过程概述</w:t>
            </w:r>
            <w:bookmarkEnd w:id="65"/>
          </w:p>
        </w:tc>
        <w:tc>
          <w:tcPr>
            <w:tcW w:w="405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bookmarkEnd w:id="6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758" w:hRule="atLeast"/>
        </w:trPr>
        <w:tc>
          <w:tcPr>
            <w:tcW w:w="34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66" w:name="OLE_LINK21" w:colFirst="4" w:colLast="5"/>
            <w:r>
              <w:rPr>
                <w:rFonts w:hint="eastAsia" w:ascii="宋体" w:hAnsi="宋体" w:eastAsia="宋体" w:cs="宋体"/>
                <w:i w:val="0"/>
                <w:iCs w:val="0"/>
                <w:color w:val="000000"/>
                <w:kern w:val="0"/>
                <w:sz w:val="18"/>
                <w:szCs w:val="18"/>
                <w:u w:val="none"/>
                <w:lang w:val="en-US" w:eastAsia="zh-CN" w:bidi="ar"/>
              </w:rPr>
              <w:t>预算执行情况（10分）</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bookmarkStart w:id="67" w:name="OLE_LINK22"/>
            <w:r>
              <w:rPr>
                <w:rFonts w:hint="eastAsia" w:ascii="宋体" w:hAnsi="宋体" w:eastAsia="宋体" w:cs="宋体"/>
                <w:i w:val="0"/>
                <w:iCs w:val="0"/>
                <w:color w:val="000000"/>
                <w:kern w:val="0"/>
                <w:sz w:val="16"/>
                <w:szCs w:val="16"/>
                <w:u w:val="none"/>
                <w:lang w:val="en-US" w:eastAsia="zh-CN" w:bidi="ar"/>
              </w:rPr>
              <w:t>预算执行数</w:t>
            </w:r>
            <w:bookmarkEnd w:id="67"/>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预算执行率</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bookmarkEnd w:id="6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6" w:hRule="atLeast"/>
        </w:trPr>
        <w:tc>
          <w:tcPr>
            <w:tcW w:w="3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bookmarkStart w:id="68" w:name="OLE_LINK47"/>
            <w:r>
              <w:rPr>
                <w:rFonts w:hint="eastAsia" w:ascii="宋体" w:hAnsi="宋体" w:eastAsia="宋体" w:cs="宋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bookmarkEnd w:id="6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91" w:hRule="atLeast"/>
        </w:trPr>
        <w:tc>
          <w:tcPr>
            <w:tcW w:w="3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07" w:hRule="atLeast"/>
        </w:trPr>
        <w:tc>
          <w:tcPr>
            <w:tcW w:w="3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61" w:hRule="atLeast"/>
        </w:trPr>
        <w:tc>
          <w:tcPr>
            <w:tcW w:w="3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39" w:hRule="atLeast"/>
        </w:trPr>
        <w:tc>
          <w:tcPr>
            <w:tcW w:w="3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52" w:hRule="atLeast"/>
        </w:trPr>
        <w:tc>
          <w:tcPr>
            <w:tcW w:w="34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69" w:name="OLE_LINK17" w:colFirst="4" w:colLast="5"/>
            <w:r>
              <w:rPr>
                <w:rFonts w:hint="eastAsia" w:ascii="宋体" w:hAnsi="宋体" w:eastAsia="宋体" w:cs="宋体"/>
                <w:i w:val="0"/>
                <w:iCs w:val="0"/>
                <w:color w:val="000000"/>
                <w:kern w:val="0"/>
                <w:sz w:val="18"/>
                <w:szCs w:val="18"/>
                <w:u w:val="none"/>
                <w:lang w:val="en-US" w:eastAsia="zh-CN" w:bidi="ar"/>
              </w:rPr>
              <w:t>绩效指标（90分）</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bookmarkEnd w:id="69"/>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52" w:hRule="atLeast"/>
        </w:trPr>
        <w:tc>
          <w:tcPr>
            <w:tcW w:w="3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派出打击传销人员</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39" w:hRule="atLeast"/>
        </w:trPr>
        <w:tc>
          <w:tcPr>
            <w:tcW w:w="3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打击率</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39" w:hRule="atLeast"/>
        </w:trPr>
        <w:tc>
          <w:tcPr>
            <w:tcW w:w="3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发现传销立即出动</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39" w:hRule="atLeast"/>
        </w:trPr>
        <w:tc>
          <w:tcPr>
            <w:tcW w:w="3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保护消费者权益</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339" w:hRule="atLeast"/>
        </w:trPr>
        <w:tc>
          <w:tcPr>
            <w:tcW w:w="3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逐步降低区内传销组织</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逐步降低</w:t>
            </w:r>
          </w:p>
        </w:tc>
        <w:tc>
          <w:tcPr>
            <w:tcW w:w="2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逐步降低</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52" w:hRule="atLeast"/>
        </w:trPr>
        <w:tc>
          <w:tcPr>
            <w:tcW w:w="3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受益群众满意率</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452" w:hRule="atLeast"/>
        </w:trPr>
        <w:tc>
          <w:tcPr>
            <w:tcW w:w="3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支付遣送费用</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元/人</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未使用费用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pct"/>
          <w:trHeight w:val="286" w:hRule="atLeast"/>
        </w:trPr>
        <w:tc>
          <w:tcPr>
            <w:tcW w:w="357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546" w:hRule="atLeast"/>
        </w:trPr>
        <w:tc>
          <w:tcPr>
            <w:tcW w:w="4962"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4"/>
                <w:szCs w:val="24"/>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7" w:type="pct"/>
          <w:trHeight w:val="286" w:hRule="atLeast"/>
        </w:trPr>
        <w:tc>
          <w:tcPr>
            <w:tcW w:w="8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4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51090822T000004913431-购买营业执照专项经费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512" w:hRule="atLeast"/>
        </w:trPr>
        <w:tc>
          <w:tcPr>
            <w:tcW w:w="8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bookmarkStart w:id="70" w:name="OLE_LINK24" w:colFirst="2" w:colLast="3"/>
            <w:bookmarkStart w:id="71" w:name="OLE_LINK26" w:colFirst="1" w:colLast="3"/>
            <w:bookmarkStart w:id="72" w:name="OLE_LINK48" w:colFirst="1" w:colLast="3"/>
            <w:r>
              <w:rPr>
                <w:rFonts w:hint="eastAsia" w:ascii="宋体" w:hAnsi="宋体" w:eastAsia="宋体" w:cs="宋体"/>
                <w:i w:val="0"/>
                <w:iCs w:val="0"/>
                <w:color w:val="000000"/>
                <w:kern w:val="0"/>
                <w:sz w:val="18"/>
                <w:szCs w:val="18"/>
                <w:u w:val="none"/>
                <w:lang w:val="en-US" w:eastAsia="zh-CN" w:bidi="ar"/>
              </w:rPr>
              <w:t>主管部门</w:t>
            </w:r>
          </w:p>
        </w:tc>
        <w:tc>
          <w:tcPr>
            <w:tcW w:w="18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遂宁市市场监督管理局经开区分局部门</w:t>
            </w:r>
          </w:p>
        </w:tc>
        <w:tc>
          <w:tcPr>
            <w:tcW w:w="870"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4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遂宁市市场监督管理局经开区分局</w:t>
            </w:r>
          </w:p>
        </w:tc>
      </w:tr>
      <w:bookmarkEnd w:id="7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286"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bookmarkStart w:id="73" w:name="OLE_LINK25" w:colFirst="2" w:colLast="3"/>
            <w:r>
              <w:rPr>
                <w:rFonts w:hint="eastAsia" w:ascii="宋体" w:hAnsi="宋体" w:eastAsia="宋体" w:cs="宋体"/>
                <w:i w:val="0"/>
                <w:iCs w:val="0"/>
                <w:color w:val="000000"/>
                <w:kern w:val="0"/>
                <w:sz w:val="18"/>
                <w:szCs w:val="18"/>
                <w:u w:val="none"/>
                <w:lang w:val="en-US" w:eastAsia="zh-CN" w:bidi="ar"/>
              </w:rPr>
              <w:t>项目基本情况</w:t>
            </w:r>
          </w:p>
        </w:tc>
        <w:tc>
          <w:tcPr>
            <w:tcW w:w="5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18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29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bookmarkEnd w:id="71"/>
      <w:bookmarkEnd w:id="73"/>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160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bookmarkStart w:id="74" w:name="OLE_LINK23" w:colFirst="2" w:colLast="3"/>
          </w:p>
        </w:tc>
        <w:tc>
          <w:tcPr>
            <w:tcW w:w="5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2023年预算42400.00元，主要用于购买营业执照正副本</w:t>
            </w:r>
          </w:p>
        </w:tc>
        <w:tc>
          <w:tcPr>
            <w:tcW w:w="229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缩减行政审批等事项办理时限，优化程序提效“减”时，从3个工作日转变1个工作日取证，切实履行“一件事、一次办”；深化“放管服”改革，实施市场准入退出便利工程，将个体工商户纳入简易注销范围，深化“证照分离”改革，升级“网上办、不见面、快递送”服务模式，惠及全区市场主体2.7万户。截至目前，全区新登记个体工商户3754户，办理变更事项1万余次。</w:t>
            </w:r>
          </w:p>
        </w:tc>
      </w:tr>
      <w:bookmarkEnd w:id="72"/>
      <w:bookmarkEnd w:id="7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302"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bookmarkStart w:id="75" w:name="OLE_LINK27"/>
            <w:r>
              <w:rPr>
                <w:rFonts w:hint="eastAsia" w:ascii="宋体" w:hAnsi="宋体" w:eastAsia="宋体" w:cs="宋体"/>
                <w:i w:val="0"/>
                <w:iCs w:val="0"/>
                <w:color w:val="000000"/>
                <w:kern w:val="0"/>
                <w:sz w:val="16"/>
                <w:szCs w:val="16"/>
                <w:u w:val="none"/>
                <w:lang w:val="en-US" w:eastAsia="zh-CN" w:bidi="ar"/>
              </w:rPr>
              <w:t>2.项目实施内容及过程概述</w:t>
            </w:r>
            <w:bookmarkEnd w:id="75"/>
          </w:p>
        </w:tc>
        <w:tc>
          <w:tcPr>
            <w:tcW w:w="414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361"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9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346"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9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391"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9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407"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361"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339"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452"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339"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印制营业执照</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＞10000份</w:t>
            </w:r>
          </w:p>
        </w:tc>
        <w:tc>
          <w:tcPr>
            <w:tcW w:w="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339"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合法取证率</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339"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按照规定时限办证</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严格落实</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严格落实</w:t>
            </w:r>
          </w:p>
        </w:tc>
        <w:tc>
          <w:tcPr>
            <w:tcW w:w="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339"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提升合法市场持证率</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339"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严厉打击无照经营</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452"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452"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正副本单册价格</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元/户</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5.3元</w:t>
            </w:r>
          </w:p>
        </w:tc>
        <w:tc>
          <w:tcPr>
            <w:tcW w:w="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7" w:type="pct"/>
          <w:trHeight w:val="286" w:hRule="atLeast"/>
        </w:trPr>
        <w:tc>
          <w:tcPr>
            <w:tcW w:w="347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rPr>
          <w:rFonts w:hint="eastAsia" w:ascii="宋体" w:hAnsi="宋体" w:eastAsia="宋体" w:cs="宋体"/>
          <w:sz w:val="22"/>
          <w:szCs w:val="28"/>
        </w:rPr>
      </w:pPr>
      <w:bookmarkStart w:id="76" w:name="OLE_LINK49"/>
    </w:p>
    <w:tbl>
      <w:tblPr>
        <w:tblStyle w:val="15"/>
        <w:tblW w:w="5308" w:type="pct"/>
        <w:tblInd w:w="-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3"/>
        <w:gridCol w:w="1241"/>
        <w:gridCol w:w="1043"/>
        <w:gridCol w:w="1364"/>
        <w:gridCol w:w="376"/>
        <w:gridCol w:w="1014"/>
        <w:gridCol w:w="376"/>
        <w:gridCol w:w="787"/>
        <w:gridCol w:w="224"/>
        <w:gridCol w:w="232"/>
        <w:gridCol w:w="376"/>
        <w:gridCol w:w="2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部门预算项目支出绩效自评表（2023年度）</w:t>
            </w:r>
          </w:p>
        </w:tc>
      </w:tr>
      <w:bookmarkEnd w:id="7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40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51090822T000004913448-市场主体年度报告抽查服务费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bookmarkStart w:id="77" w:name="OLE_LINK28" w:colFirst="1" w:colLast="3"/>
            <w:r>
              <w:rPr>
                <w:rFonts w:hint="eastAsia" w:ascii="宋体" w:hAnsi="宋体" w:eastAsia="宋体" w:cs="宋体"/>
                <w:i w:val="0"/>
                <w:iCs w:val="0"/>
                <w:color w:val="000000"/>
                <w:kern w:val="0"/>
                <w:sz w:val="16"/>
                <w:szCs w:val="16"/>
                <w:u w:val="none"/>
                <w:lang w:val="en-US" w:eastAsia="zh-CN" w:bidi="ar"/>
              </w:rPr>
              <w:t>主管部门</w:t>
            </w:r>
          </w:p>
        </w:tc>
        <w:tc>
          <w:tcPr>
            <w:tcW w:w="19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遂宁市市场监督管理局经开区分局部门</w:t>
            </w:r>
          </w:p>
        </w:tc>
        <w:tc>
          <w:tcPr>
            <w:tcW w:w="714" w:type="pct"/>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 （盖章）</w:t>
            </w:r>
          </w:p>
        </w:tc>
        <w:tc>
          <w:tcPr>
            <w:tcW w:w="13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遂宁市市场监督管理局经开区分局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19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20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年度目标完成情况</w:t>
            </w:r>
          </w:p>
        </w:tc>
      </w:tr>
      <w:bookmarkEnd w:id="7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bookmarkStart w:id="78" w:name="OLE_LINK29" w:colFirst="2" w:colLast="3"/>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9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在2023年，预算13万元，，在市场监管领域以“双随机、一公开”为手段，对市场主体进行抽查管理，进一步营造公平竞争的市场环境和法治化、便利化的营商环境，实现综合监管、智慧监管。</w:t>
            </w:r>
          </w:p>
        </w:tc>
        <w:tc>
          <w:tcPr>
            <w:tcW w:w="20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开展市场监管内部“双随机</w:t>
            </w:r>
            <w:r>
              <w:rPr>
                <w:rFonts w:hint="eastAsia" w:ascii="宋体" w:hAnsi="宋体" w:cs="宋体"/>
                <w:i w:val="0"/>
                <w:iCs w:val="0"/>
                <w:color w:val="000000"/>
                <w:kern w:val="0"/>
                <w:sz w:val="16"/>
                <w:szCs w:val="16"/>
                <w:u w:val="none"/>
                <w:lang w:val="en-US" w:eastAsia="zh-CN" w:bidi="ar"/>
              </w:rPr>
              <w:t>、</w:t>
            </w:r>
            <w:bookmarkStart w:id="108" w:name="_GoBack"/>
            <w:bookmarkEnd w:id="108"/>
            <w:r>
              <w:rPr>
                <w:rFonts w:hint="eastAsia" w:ascii="宋体" w:hAnsi="宋体" w:eastAsia="宋体" w:cs="宋体"/>
                <w:i w:val="0"/>
                <w:iCs w:val="0"/>
                <w:color w:val="000000"/>
                <w:kern w:val="0"/>
                <w:sz w:val="16"/>
                <w:szCs w:val="16"/>
                <w:u w:val="none"/>
                <w:lang w:val="en-US" w:eastAsia="zh-CN" w:bidi="ar"/>
              </w:rPr>
              <w:t>一公开”抽查，加强信用监管，督促企业诚信自律，开展涉及食品、药品、特种设备、质量、价格、知识产权、信用监管等各条线双随机抽查，共抽查504户市场主体，主动履行信用修复义务，积极完善修复资料98户市场主体，依法移除异常名录</w:t>
            </w:r>
          </w:p>
        </w:tc>
      </w:tr>
      <w:bookmarkEnd w:id="78"/>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404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9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9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9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聘请第三方机构进行抽查</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出具审计报告合规率</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抽查时间</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促进企业诚信自律</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持续提高</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持续提高</w:t>
            </w: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市场经营整体诚信度提高</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持续提高</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持续提高</w:t>
            </w: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监管工作人员满意</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经济成本指标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抽查成本</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0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2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bl>
    <w:p>
      <w:pPr>
        <w:rPr>
          <w:rFonts w:hint="eastAsia" w:ascii="宋体" w:hAnsi="宋体" w:eastAsia="宋体" w:cs="宋体"/>
        </w:rPr>
      </w:pPr>
    </w:p>
    <w:tbl>
      <w:tblPr>
        <w:tblStyle w:val="15"/>
        <w:tblW w:w="5408" w:type="pct"/>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4"/>
        <w:gridCol w:w="1344"/>
        <w:gridCol w:w="1068"/>
        <w:gridCol w:w="1374"/>
        <w:gridCol w:w="508"/>
        <w:gridCol w:w="750"/>
        <w:gridCol w:w="479"/>
        <w:gridCol w:w="787"/>
        <w:gridCol w:w="151"/>
        <w:gridCol w:w="305"/>
        <w:gridCol w:w="376"/>
        <w:gridCol w:w="2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79" w:name="OLE_LINK50"/>
            <w:r>
              <w:rPr>
                <w:rFonts w:hint="eastAsia" w:ascii="宋体" w:hAnsi="宋体" w:eastAsia="宋体" w:cs="宋体"/>
                <w:b/>
                <w:bCs/>
                <w:i w:val="0"/>
                <w:iCs w:val="0"/>
                <w:color w:val="000000"/>
                <w:kern w:val="0"/>
                <w:sz w:val="28"/>
                <w:szCs w:val="28"/>
                <w:u w:val="none"/>
                <w:lang w:val="en-US" w:eastAsia="zh-CN" w:bidi="ar"/>
              </w:rPr>
              <w:t>部门预算项目支出绩效自评表（2023年度）</w:t>
            </w:r>
            <w:bookmarkEnd w:id="7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40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51090822T000004913466-质量强区建设经费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bookmarkStart w:id="80" w:name="OLE_LINK32" w:colFirst="2" w:colLast="3"/>
            <w:bookmarkStart w:id="81" w:name="OLE_LINK31" w:colFirst="1" w:colLast="3"/>
            <w:r>
              <w:rPr>
                <w:rFonts w:hint="eastAsia" w:ascii="宋体" w:hAnsi="宋体" w:eastAsia="宋体" w:cs="宋体"/>
                <w:i w:val="0"/>
                <w:iCs w:val="0"/>
                <w:color w:val="000000"/>
                <w:kern w:val="0"/>
                <w:sz w:val="16"/>
                <w:szCs w:val="16"/>
                <w:u w:val="none"/>
                <w:lang w:val="en-US" w:eastAsia="zh-CN" w:bidi="ar"/>
              </w:rPr>
              <w:t>主管部门</w:t>
            </w:r>
          </w:p>
        </w:tc>
        <w:tc>
          <w:tcPr>
            <w:tcW w:w="18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遂宁市市场监督管理局经开区分局部门</w:t>
            </w:r>
          </w:p>
        </w:tc>
        <w:tc>
          <w:tcPr>
            <w:tcW w:w="716" w:type="pct"/>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 （盖章）</w:t>
            </w:r>
          </w:p>
        </w:tc>
        <w:tc>
          <w:tcPr>
            <w:tcW w:w="14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遂宁市市场监督管理局经开区分局</w:t>
            </w:r>
          </w:p>
        </w:tc>
      </w:tr>
      <w:bookmarkEnd w:id="8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bookmarkStart w:id="82" w:name="OLE_LINK30" w:colFirst="2" w:colLast="3"/>
            <w:r>
              <w:rPr>
                <w:rFonts w:hint="eastAsia" w:ascii="宋体" w:hAnsi="宋体" w:eastAsia="宋体" w:cs="宋体"/>
                <w:i w:val="0"/>
                <w:iCs w:val="0"/>
                <w:color w:val="000000"/>
                <w:kern w:val="0"/>
                <w:sz w:val="16"/>
                <w:szCs w:val="16"/>
                <w:u w:val="none"/>
                <w:lang w:val="en-US" w:eastAsia="zh-CN" w:bidi="ar"/>
              </w:rPr>
              <w:t>项目基本情况</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18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21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8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2023年 预计投入2.5万元，用于推广先进质量管理方法 、开展“质量月”宣传，完成质量强区考评、认证。</w:t>
            </w:r>
          </w:p>
        </w:tc>
        <w:tc>
          <w:tcPr>
            <w:tcW w:w="21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100余家企业参与四届“遂潼质量大讲堂”培训，指导我区蜂巢能源、凡立美等4户企业积极参与申报天府质量奖，组织喜之郎、美宁等7家具有卓越绩效管理模式的企业，参加品牌创建工作推进专题宣讲会，推进企业产品标准自我声明公开，激发企业标准创新活力，截至目前，全区共60余家企业在企业标准公共服务平台上发布对标结果，新增发布企业4家。</w:t>
            </w:r>
          </w:p>
        </w:tc>
      </w:tr>
      <w:bookmarkEnd w:id="81"/>
      <w:bookmarkEnd w:id="8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40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8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w:t>
            </w:r>
          </w:p>
        </w:tc>
        <w:tc>
          <w:tcPr>
            <w:tcW w:w="8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w:t>
            </w:r>
          </w:p>
        </w:tc>
        <w:tc>
          <w:tcPr>
            <w:tcW w:w="8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开展“质量月”宣传</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通过质量强区考评、认证率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完成年限</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持续推进质量强区建设</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持续推进</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持续推进</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持续影响年度</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受益群众满意度</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经济成本指标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宣传成本</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bl>
    <w:p>
      <w:pPr>
        <w:rPr>
          <w:rFonts w:hint="eastAsia" w:ascii="宋体" w:hAnsi="宋体" w:eastAsia="宋体" w:cs="宋体"/>
        </w:rPr>
      </w:pPr>
    </w:p>
    <w:tbl>
      <w:tblPr>
        <w:tblStyle w:val="15"/>
        <w:tblW w:w="5340" w:type="pct"/>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2"/>
        <w:gridCol w:w="1255"/>
        <w:gridCol w:w="1062"/>
        <w:gridCol w:w="1385"/>
        <w:gridCol w:w="366"/>
        <w:gridCol w:w="1014"/>
        <w:gridCol w:w="115"/>
        <w:gridCol w:w="256"/>
        <w:gridCol w:w="771"/>
        <w:gridCol w:w="361"/>
        <w:gridCol w:w="82"/>
        <w:gridCol w:w="366"/>
        <w:gridCol w:w="2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399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51090822T000004931189-食品药品保健品从业人员及监管系统人员培训费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bookmarkStart w:id="83" w:name="OLE_LINK34" w:colFirst="2" w:colLast="3"/>
            <w:bookmarkStart w:id="84" w:name="OLE_LINK33" w:colFirst="1" w:colLast="3"/>
            <w:r>
              <w:rPr>
                <w:rFonts w:hint="eastAsia" w:ascii="宋体" w:hAnsi="宋体" w:eastAsia="宋体" w:cs="宋体"/>
                <w:i w:val="0"/>
                <w:iCs w:val="0"/>
                <w:color w:val="000000"/>
                <w:kern w:val="0"/>
                <w:sz w:val="15"/>
                <w:szCs w:val="15"/>
                <w:u w:val="none"/>
                <w:lang w:val="en-US" w:eastAsia="zh-CN" w:bidi="ar"/>
              </w:rPr>
              <w:t>主管部门</w:t>
            </w:r>
          </w:p>
        </w:tc>
        <w:tc>
          <w:tcPr>
            <w:tcW w:w="20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遂宁市市场监督管理局经开区分局部门</w:t>
            </w:r>
          </w:p>
        </w:tc>
        <w:tc>
          <w:tcPr>
            <w:tcW w:w="709" w:type="pct"/>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遂宁市市场监督管理局经开区分局</w:t>
            </w:r>
          </w:p>
        </w:tc>
      </w:tr>
      <w:bookmarkEnd w:id="83"/>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项目基本情况</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20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项目年度目标</w:t>
            </w:r>
          </w:p>
        </w:tc>
        <w:tc>
          <w:tcPr>
            <w:tcW w:w="19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20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预计投入3万元，通过对食品药品从业人员以及监管系统人员的培训，不断强化监管对象主体责任以及食品药品安全意识，同时提高监管人员业务知识水平和实际工作能力，为全区人民食品药品安全提供有力保障。</w:t>
            </w:r>
          </w:p>
        </w:tc>
        <w:tc>
          <w:tcPr>
            <w:tcW w:w="19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织开展火锅行业废弃油脂规范处置及食品安全管理人员专项培训、餐饮食品安全“日管控、周排查、月调度”管理培训暨反餐饮浪费动员会、春季校园食品安全“日管控、周排查、月调度”管理培训会，参加培训食品安全总监、食品安全员、监管工作人员共500余人。组织开展美容、美发、浴足行业法规宣传培训，药械流通环节法规宣贯培训，共计320余人参加。</w:t>
            </w:r>
          </w:p>
        </w:tc>
      </w:tr>
      <w:bookmarkEnd w:id="8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399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预算执行情况（10分）</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w:t>
            </w:r>
          </w:p>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（万元）</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年初预算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调整后预算数</w:t>
            </w:r>
          </w:p>
        </w:tc>
        <w:tc>
          <w:tcPr>
            <w:tcW w:w="8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预算执行数</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预算执行率</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总额</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8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其中：财政资金</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8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财政专户管理资金</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8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单位资金</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8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其他资金</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绩效指标（90分）</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1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度量单位</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完成值</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开展培训</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培训合格率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完成时限</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月</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监管人员水平提升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逐步提升</w:t>
            </w:r>
          </w:p>
        </w:tc>
        <w:tc>
          <w:tcPr>
            <w:tcW w:w="1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逐步提升</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可持续影响指标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提高监管和责任主体安全意识</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逐步提高</w:t>
            </w:r>
          </w:p>
        </w:tc>
        <w:tc>
          <w:tcPr>
            <w:tcW w:w="1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逐步提高</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培训对象满意率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每次培训费用</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bl>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tbl>
      <w:tblPr>
        <w:tblStyle w:val="15"/>
        <w:tblW w:w="5309" w:type="pct"/>
        <w:tblInd w:w="-1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1255"/>
        <w:gridCol w:w="1077"/>
        <w:gridCol w:w="1394"/>
        <w:gridCol w:w="366"/>
        <w:gridCol w:w="1013"/>
        <w:gridCol w:w="82"/>
        <w:gridCol w:w="293"/>
        <w:gridCol w:w="753"/>
        <w:gridCol w:w="441"/>
        <w:gridCol w:w="366"/>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85" w:name="OLE_LINK36"/>
            <w:r>
              <w:rPr>
                <w:rFonts w:hint="eastAsia" w:ascii="宋体" w:hAnsi="宋体" w:eastAsia="宋体" w:cs="宋体"/>
                <w:b/>
                <w:bCs/>
                <w:i w:val="0"/>
                <w:iCs w:val="0"/>
                <w:color w:val="000000"/>
                <w:kern w:val="0"/>
                <w:sz w:val="28"/>
                <w:szCs w:val="28"/>
                <w:u w:val="none"/>
                <w:lang w:val="en-US" w:eastAsia="zh-CN" w:bidi="ar"/>
              </w:rPr>
              <w:t>部门预算项目支出绩效自评表（2023年度）</w:t>
            </w:r>
            <w:bookmarkEnd w:id="8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399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51090822T000006361111-知识产权专项经费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bookmarkStart w:id="86" w:name="OLE_LINK35" w:colFirst="1" w:colLast="3"/>
            <w:r>
              <w:rPr>
                <w:rFonts w:hint="eastAsia" w:ascii="宋体" w:hAnsi="宋体" w:eastAsia="宋体" w:cs="宋体"/>
                <w:i w:val="0"/>
                <w:iCs w:val="0"/>
                <w:color w:val="000000"/>
                <w:kern w:val="0"/>
                <w:sz w:val="15"/>
                <w:szCs w:val="15"/>
                <w:u w:val="none"/>
                <w:lang w:val="en-US" w:eastAsia="zh-CN" w:bidi="ar"/>
              </w:rPr>
              <w:t>主管部门</w:t>
            </w:r>
          </w:p>
        </w:tc>
        <w:tc>
          <w:tcPr>
            <w:tcW w:w="20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遂宁市市场监督管理局经开区分局部门</w:t>
            </w:r>
          </w:p>
        </w:tc>
        <w:tc>
          <w:tcPr>
            <w:tcW w:w="538" w:type="pct"/>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实施单位 （盖章）</w:t>
            </w:r>
          </w:p>
        </w:tc>
        <w:tc>
          <w:tcPr>
            <w:tcW w:w="14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遂宁市市场监督管理局经开区分局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项目基本情况</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20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项目年度目标</w:t>
            </w:r>
          </w:p>
        </w:tc>
        <w:tc>
          <w:tcPr>
            <w:tcW w:w="19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20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预计投入7万元，通过宣传、培训、助推企业申报知识产权项目等方式提升园区知识产权数量、质量，完成市级下达的经济发展知识产权目标任务、提升企业和群众的知识产权保护意识、挖掘知识产权潜力、提升干部知识产权监管服务能力。</w:t>
            </w:r>
          </w:p>
        </w:tc>
        <w:tc>
          <w:tcPr>
            <w:tcW w:w="19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紧盯知识产权年度工作目标，助力创新发展，实施目标管理，抓好统筹协调，帮助浩海星辰电子、英创力电子、威纳尔电子、普瑞森电子、利普芯电子、金湾电子等20余家企业获得75万元省级专项资金支持，目前全区有效发明专利449件，其中高价值专利211件</w:t>
            </w:r>
          </w:p>
        </w:tc>
      </w:tr>
      <w:bookmarkEnd w:id="8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399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预算执行情况（10分）</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年度预算数（万元）</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年初预算</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调整后预算数</w:t>
            </w:r>
          </w:p>
        </w:tc>
        <w:tc>
          <w:tcPr>
            <w:tcW w:w="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预算执行率</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权重</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总额</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7.00</w:t>
            </w:r>
          </w:p>
        </w:tc>
        <w:tc>
          <w:tcPr>
            <w:tcW w:w="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其中：财政资金</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7.00</w:t>
            </w:r>
          </w:p>
        </w:tc>
        <w:tc>
          <w:tcPr>
            <w:tcW w:w="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财政专户管理资金</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单位资金</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其他资金</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9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绩效指标（90分）</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指标性质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完成值</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权重</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考察学习人数</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降低费用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申报知识产权质量</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优良</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优良</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申报年度</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2022</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经济效益指标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提高企业知识产权运用转化能力</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逐步提高</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逐步提高</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可持续影响指标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提升园区知识产权竞争力</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逐步提高</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逐步提高</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服务相关方满意</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宣传培训成本</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bl>
    <w:p>
      <w:pPr>
        <w:rPr>
          <w:rFonts w:hint="eastAsia" w:ascii="宋体" w:hAnsi="宋体" w:eastAsia="宋体" w:cs="宋体"/>
        </w:rPr>
      </w:pPr>
    </w:p>
    <w:tbl>
      <w:tblPr>
        <w:tblStyle w:val="15"/>
        <w:tblW w:w="5322" w:type="pct"/>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
        <w:gridCol w:w="1243"/>
        <w:gridCol w:w="952"/>
        <w:gridCol w:w="1475"/>
        <w:gridCol w:w="590"/>
        <w:gridCol w:w="796"/>
        <w:gridCol w:w="529"/>
        <w:gridCol w:w="796"/>
        <w:gridCol w:w="195"/>
        <w:gridCol w:w="246"/>
        <w:gridCol w:w="366"/>
        <w:gridCol w:w="2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40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51090822T000006654748-市场监管抽检经费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bookmarkStart w:id="87" w:name="OLE_LINK38" w:colFirst="2" w:colLast="3"/>
            <w:bookmarkStart w:id="88" w:name="OLE_LINK37" w:colFirst="1" w:colLast="3"/>
            <w:r>
              <w:rPr>
                <w:rFonts w:hint="eastAsia" w:ascii="宋体" w:hAnsi="宋体" w:eastAsia="宋体" w:cs="宋体"/>
                <w:i w:val="0"/>
                <w:iCs w:val="0"/>
                <w:color w:val="000000"/>
                <w:kern w:val="0"/>
                <w:sz w:val="15"/>
                <w:szCs w:val="15"/>
                <w:u w:val="none"/>
                <w:lang w:val="en-US" w:eastAsia="zh-CN" w:bidi="ar"/>
              </w:rPr>
              <w:t>主管部门</w:t>
            </w:r>
          </w:p>
        </w:tc>
        <w:tc>
          <w:tcPr>
            <w:tcW w:w="19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遂宁市市场监督管理局经开区分局部门</w:t>
            </w:r>
          </w:p>
        </w:tc>
        <w:tc>
          <w:tcPr>
            <w:tcW w:w="781" w:type="pct"/>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实施单位 （盖章）</w:t>
            </w:r>
          </w:p>
        </w:tc>
        <w:tc>
          <w:tcPr>
            <w:tcW w:w="13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遂宁市市场监督管理局经开区分局</w:t>
            </w:r>
          </w:p>
        </w:tc>
      </w:tr>
      <w:bookmarkEnd w:id="8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项目基本情况</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19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项目年度目标</w:t>
            </w:r>
          </w:p>
        </w:tc>
        <w:tc>
          <w:tcPr>
            <w:tcW w:w="21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9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2023年预算99万元，委托第三方抽检公司对市场监管流通环节的产品质量、食品安全进行抽检，以提高辖区质量安全和食品安全。</w:t>
            </w:r>
          </w:p>
        </w:tc>
        <w:tc>
          <w:tcPr>
            <w:tcW w:w="21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以粮食加工品、食用植物油、肉制品、方便食品、炒货及坚果制品、餐饮食品、食用农产品等为重点，开展食品安全抽检705批次，发现不合格食品9批次，已立案查处2批次，追溯不合格食品源头1批次，向溯源不合格食品当地市场监管部门移交线索1条</w:t>
            </w:r>
          </w:p>
        </w:tc>
      </w:tr>
      <w:bookmarkEnd w:id="88"/>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40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预算执行情况（10分）</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年度预算数</w:t>
            </w:r>
          </w:p>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（万元）</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年初预算</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调整后预算数</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预算执行数</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预算执行率</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权重</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总额</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97.66</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97.66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其中：财政资金</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97.66</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97.66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财政专户管理资金</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单位资金</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其他资金</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绩效指标（90分）</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指标性质</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度量单位</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完成值</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权重</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抽检产品质量批次</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批次</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抽检食品批次</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批次</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705</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抽检合规率</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抽检时效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月</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提高全区质量安全和食品安全。</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逐步提升</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逐步提升</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可持续发展指标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全区质量安全和食品安全意识不断增强</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不断增强</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不断增强</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市场监管部门执法人员满意</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每批次抽检成本</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元</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≤3000</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bl>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tbl>
      <w:tblPr>
        <w:tblStyle w:val="15"/>
        <w:tblW w:w="5254" w:type="pct"/>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1129"/>
        <w:gridCol w:w="1016"/>
        <w:gridCol w:w="1329"/>
        <w:gridCol w:w="396"/>
        <w:gridCol w:w="951"/>
        <w:gridCol w:w="315"/>
        <w:gridCol w:w="86"/>
        <w:gridCol w:w="857"/>
        <w:gridCol w:w="486"/>
        <w:gridCol w:w="396"/>
        <w:gridCol w:w="1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89" w:name="OLE_LINK51"/>
            <w:r>
              <w:rPr>
                <w:rFonts w:hint="eastAsia" w:ascii="宋体" w:hAnsi="宋体" w:eastAsia="宋体" w:cs="宋体"/>
                <w:b/>
                <w:bCs/>
                <w:i w:val="0"/>
                <w:iCs w:val="0"/>
                <w:color w:val="000000"/>
                <w:kern w:val="0"/>
                <w:sz w:val="28"/>
                <w:szCs w:val="28"/>
                <w:u w:val="none"/>
                <w:lang w:val="en-US" w:eastAsia="zh-CN" w:bidi="ar"/>
              </w:rPr>
              <w:t>部门预算项目支出绩效自评表（2023年度）</w:t>
            </w:r>
            <w:bookmarkEnd w:id="8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1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51090822T000006844135-一次性退休补贴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bookmarkStart w:id="90" w:name="OLE_LINK39" w:colFirst="1" w:colLast="3"/>
            <w:r>
              <w:rPr>
                <w:rFonts w:hint="eastAsia" w:ascii="宋体" w:hAnsi="宋体" w:eastAsia="宋体" w:cs="宋体"/>
                <w:i w:val="0"/>
                <w:iCs w:val="0"/>
                <w:color w:val="000000"/>
                <w:kern w:val="0"/>
                <w:sz w:val="18"/>
                <w:szCs w:val="18"/>
                <w:u w:val="none"/>
                <w:lang w:val="en-US" w:eastAsia="zh-CN" w:bidi="ar"/>
              </w:rPr>
              <w:t>主管部门</w:t>
            </w:r>
          </w:p>
        </w:tc>
        <w:tc>
          <w:tcPr>
            <w:tcW w:w="20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遂宁市市场监督管理局经开区分局部门</w:t>
            </w:r>
          </w:p>
        </w:tc>
        <w:tc>
          <w:tcPr>
            <w:tcW w:w="490" w:type="pct"/>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遂宁市市场监督管理局经开区分局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0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根据退休人员文件据实发放</w:t>
            </w:r>
          </w:p>
        </w:tc>
        <w:tc>
          <w:tcPr>
            <w:tcW w:w="1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退休1名，据实发放</w:t>
            </w:r>
          </w:p>
        </w:tc>
      </w:tr>
      <w:bookmarkEnd w:id="9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1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9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9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9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发放（缴纳）覆盖率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足额保障率（参保率）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6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tbl>
      <w:tblPr>
        <w:tblStyle w:val="15"/>
        <w:tblW w:w="51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99"/>
        <w:gridCol w:w="1017"/>
        <w:gridCol w:w="1335"/>
        <w:gridCol w:w="396"/>
        <w:gridCol w:w="954"/>
        <w:gridCol w:w="117"/>
        <w:gridCol w:w="281"/>
        <w:gridCol w:w="854"/>
        <w:gridCol w:w="486"/>
        <w:gridCol w:w="397"/>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bookmarkStart w:id="91" w:name="OLE_LINK52"/>
            <w:r>
              <w:rPr>
                <w:rFonts w:hint="eastAsia" w:ascii="宋体" w:hAnsi="宋体" w:eastAsia="宋体" w:cs="宋体"/>
                <w:b/>
                <w:bCs/>
                <w:i w:val="0"/>
                <w:iCs w:val="0"/>
                <w:color w:val="000000"/>
                <w:kern w:val="0"/>
                <w:sz w:val="28"/>
                <w:szCs w:val="28"/>
                <w:u w:val="none"/>
                <w:lang w:val="en-US" w:eastAsia="zh-CN" w:bidi="ar"/>
              </w:rPr>
              <w:t>部门预算项目支出绩效自评表（2023年度）</w:t>
            </w:r>
            <w:bookmarkEnd w:id="9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6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51090823T000008638562-死亡抚恤费用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bookmarkStart w:id="92" w:name="OLE_LINK40" w:colFirst="1" w:colLast="3"/>
            <w:r>
              <w:rPr>
                <w:rFonts w:hint="eastAsia" w:ascii="宋体" w:hAnsi="宋体" w:eastAsia="宋体" w:cs="宋体"/>
                <w:i w:val="0"/>
                <w:iCs w:val="0"/>
                <w:color w:val="000000"/>
                <w:kern w:val="0"/>
                <w:sz w:val="18"/>
                <w:szCs w:val="18"/>
                <w:u w:val="none"/>
                <w:lang w:val="en-US" w:eastAsia="zh-CN" w:bidi="ar"/>
              </w:rPr>
              <w:t>主管部门</w:t>
            </w:r>
          </w:p>
        </w:tc>
        <w:tc>
          <w:tcPr>
            <w:tcW w:w="20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遂宁市市场监督管理局经开区分局部门</w:t>
            </w:r>
          </w:p>
        </w:tc>
        <w:tc>
          <w:tcPr>
            <w:tcW w:w="600" w:type="pct"/>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遂宁市市场监督管理局经开区分局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0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0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据实发放</w:t>
            </w:r>
          </w:p>
        </w:tc>
        <w:tc>
          <w:tcPr>
            <w:tcW w:w="20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据实发放</w:t>
            </w:r>
          </w:p>
        </w:tc>
      </w:tr>
      <w:bookmarkEnd w:id="9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6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9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9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9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发放（缴纳）覆盖率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足额保障率（参保率）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tbl>
      <w:tblPr>
        <w:tblStyle w:val="15"/>
        <w:tblW w:w="5451" w:type="pct"/>
        <w:tblInd w:w="-1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236"/>
        <w:gridCol w:w="1037"/>
        <w:gridCol w:w="1150"/>
        <w:gridCol w:w="624"/>
        <w:gridCol w:w="718"/>
        <w:gridCol w:w="58"/>
        <w:gridCol w:w="554"/>
        <w:gridCol w:w="827"/>
        <w:gridCol w:w="543"/>
        <w:gridCol w:w="372"/>
        <w:gridCol w:w="2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40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51090824T000009983459-“个转企”转型升级奖补资金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bookmarkStart w:id="93" w:name="OLE_LINK42" w:colFirst="1" w:colLast="3"/>
            <w:bookmarkStart w:id="94" w:name="OLE_LINK41" w:colFirst="1" w:colLast="3"/>
            <w:r>
              <w:rPr>
                <w:rFonts w:hint="eastAsia" w:ascii="宋体" w:hAnsi="宋体" w:eastAsia="宋体" w:cs="宋体"/>
                <w:i w:val="0"/>
                <w:iCs w:val="0"/>
                <w:color w:val="000000"/>
                <w:kern w:val="0"/>
                <w:sz w:val="16"/>
                <w:szCs w:val="16"/>
                <w:u w:val="none"/>
                <w:lang w:val="en-US" w:eastAsia="zh-CN" w:bidi="ar"/>
              </w:rPr>
              <w:t>主管部门</w:t>
            </w:r>
          </w:p>
        </w:tc>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遂宁市市场监督管理局经开区分局部门</w:t>
            </w:r>
          </w:p>
        </w:tc>
        <w:tc>
          <w:tcPr>
            <w:tcW w:w="721" w:type="pct"/>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 （盖章）</w:t>
            </w:r>
          </w:p>
        </w:tc>
        <w:tc>
          <w:tcPr>
            <w:tcW w:w="15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遂宁市市场监督管理局经开区分局</w:t>
            </w:r>
          </w:p>
        </w:tc>
      </w:tr>
      <w:bookmarkEnd w:id="93"/>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22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根据“个转企”财政金融支持办法和管委会关于深入推进“个转企”工作要求，推动“个转企”工作持续开展。</w:t>
            </w:r>
          </w:p>
        </w:tc>
        <w:tc>
          <w:tcPr>
            <w:tcW w:w="22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面落实“个转企”工作。牵头组织召开专题会议研究，分解转企计划任务，做好重点指导，推动数量和质量同提，推进“个转企”工作良性发展。采取多方式、多角度全方位宣传“个转企”的优势、便捷准入服务等方面的优惠政策，提升“个转企”优惠政策社会公众知晓率，不断激发个体工商户转型升级的积极性和主动性，截至目前完成“个转企”110户，任务完成率314.29%，预计12月底将完成“个转企”135户，11月底之前完成2022年“个转企”激励奖补资金兑付工作。</w:t>
            </w:r>
          </w:p>
        </w:tc>
      </w:tr>
      <w:bookmarkEnd w:id="9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40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9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56.00</w:t>
            </w:r>
          </w:p>
        </w:tc>
        <w:tc>
          <w:tcPr>
            <w:tcW w:w="9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56.00</w:t>
            </w:r>
          </w:p>
        </w:tc>
        <w:tc>
          <w:tcPr>
            <w:tcW w:w="9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9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9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授补企业数量</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“个转企”达到转企要求</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成功转企并持续经营</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成功转企</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支持民营经济发展</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受奖补企业满意</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经济成本指标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增加授补企业收入</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6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bl>
    <w:p>
      <w:pPr>
        <w:rPr>
          <w:rFonts w:hint="eastAsia" w:ascii="宋体" w:hAnsi="宋体" w:eastAsia="宋体" w:cs="宋体"/>
        </w:rPr>
      </w:pPr>
    </w:p>
    <w:tbl>
      <w:tblPr>
        <w:tblStyle w:val="15"/>
        <w:tblW w:w="5294" w:type="pct"/>
        <w:tblInd w:w="-2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212"/>
        <w:gridCol w:w="984"/>
        <w:gridCol w:w="1341"/>
        <w:gridCol w:w="571"/>
        <w:gridCol w:w="896"/>
        <w:gridCol w:w="636"/>
        <w:gridCol w:w="805"/>
        <w:gridCol w:w="515"/>
        <w:gridCol w:w="318"/>
        <w:gridCol w:w="1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406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51090824T000010059302-市场监管所“两化”建设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遂宁市市场监督管理局经开区分局部门</w:t>
            </w:r>
          </w:p>
        </w:tc>
        <w:tc>
          <w:tcPr>
            <w:tcW w:w="744" w:type="pct"/>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 （盖章）</w:t>
            </w: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遂宁市市场监督管理局经开区分局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21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2023年根据省、市要求，按照《市场监管管理所建设规范（暂行）》等相关要求，有力有序开展市场监管局（所）规范化建设试点工作</w:t>
            </w:r>
          </w:p>
        </w:tc>
        <w:tc>
          <w:tcPr>
            <w:tcW w:w="21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将嘉禾市场监管所从孵化中心搬迁至嘉兴农贸市场二楼工作区，并将外观形象与内部功能分区按照四川省市场监督管理所标准化规范化建设指南要求，统一形象，合理布局等建设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406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10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atLeas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10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10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整体搬迁基层所</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1个</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建设质量、形象符合标准化要求</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搬迁及完成建设</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1年</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1年</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打造完整的功能分区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大于3个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大于3个</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打造建设示范单位</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≥3年</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≥3年</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提升便民服务、提高基层市场监管形象</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服务对象及工作人员满意</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经济成本指标</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建设及搬迁费用</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≤30万元</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15万元</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剩余15万元财政未付款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3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bl>
    <w:p>
      <w:pPr>
        <w:rPr>
          <w:rFonts w:hint="eastAsia" w:ascii="宋体" w:hAnsi="宋体" w:eastAsia="宋体" w:cs="宋体"/>
        </w:rPr>
      </w:pPr>
    </w:p>
    <w:p>
      <w:pPr>
        <w:pageBreakBefore w:val="0"/>
        <w:widowControl/>
        <w:kinsoku/>
        <w:wordWrap/>
        <w:overflowPunct/>
        <w:topLinePunct w:val="0"/>
        <w:autoSpaceDE/>
        <w:autoSpaceDN/>
        <w:bidi w:val="0"/>
        <w:adjustRightInd w:val="0"/>
        <w:snapToGrid w:val="0"/>
        <w:ind w:firstLine="2640" w:firstLineChars="600"/>
        <w:jc w:val="both"/>
        <w:textAlignment w:val="auto"/>
        <w:rPr>
          <w:rStyle w:val="20"/>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0"/>
          <w:rFonts w:hint="eastAsia"/>
        </w:rPr>
        <w:t>五部分</w:t>
      </w:r>
      <w:r>
        <w:rPr>
          <w:rStyle w:val="20"/>
          <w:rFonts w:hint="eastAsia" w:ascii="黑体" w:hAnsi="黑体" w:eastAsia="黑体"/>
          <w:b w:val="0"/>
          <w:color w:val="auto"/>
          <w:highlight w:val="none"/>
        </w:rPr>
        <w:t xml:space="preserve"> 附表</w:t>
      </w:r>
      <w:bookmarkStart w:id="95" w:name="_Toc15396619"/>
    </w:p>
    <w:p>
      <w:pPr>
        <w:pStyle w:val="12"/>
        <w:rPr>
          <w:rFonts w:hint="eastAsia"/>
        </w:rPr>
      </w:pPr>
    </w:p>
    <w:p>
      <w:pPr>
        <w:pStyle w:val="12"/>
        <w:pageBreakBefore w:val="0"/>
        <w:kinsoku/>
        <w:wordWrap/>
        <w:overflowPunct/>
        <w:topLinePunct w:val="0"/>
        <w:autoSpaceDE/>
        <w:autoSpaceDN/>
        <w:bidi w:val="0"/>
        <w:adjustRightInd w:val="0"/>
        <w:snapToGrid w:val="0"/>
        <w:textAlignment w:val="auto"/>
        <w:rPr>
          <w:rFonts w:hint="eastAsia"/>
        </w:rPr>
      </w:pPr>
    </w:p>
    <w:p>
      <w:pPr>
        <w:pStyle w:val="8"/>
        <w:pageBreakBefore w:val="0"/>
        <w:kinsoku/>
        <w:wordWrap/>
        <w:overflowPunct/>
        <w:topLinePunct w:val="0"/>
        <w:autoSpaceDE/>
        <w:autoSpaceDN/>
        <w:bidi w:val="0"/>
        <w:adjustRightInd w:val="0"/>
        <w:snapToGrid w:val="0"/>
        <w:textAlignment w:val="auto"/>
        <w:rPr>
          <w:rFonts w:hint="eastAsia"/>
        </w:rPr>
      </w:pPr>
    </w:p>
    <w:p>
      <w:pPr>
        <w:pStyle w:val="8"/>
        <w:pageBreakBefore w:val="0"/>
        <w:kinsoku/>
        <w:wordWrap/>
        <w:overflowPunct/>
        <w:topLinePunct w:val="0"/>
        <w:autoSpaceDE/>
        <w:autoSpaceDN/>
        <w:bidi w:val="0"/>
        <w:adjustRightInd w:val="0"/>
        <w:snapToGrid w:val="0"/>
        <w:textAlignment w:val="auto"/>
        <w:rPr>
          <w:rFonts w:hint="eastAsia"/>
        </w:rPr>
      </w:pP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仿宋" w:hAnsi="仿宋" w:eastAsia="仿宋" w:cs="Times New Roman"/>
          <w:b w:val="0"/>
          <w:bCs/>
          <w:color w:val="auto"/>
          <w:kern w:val="2"/>
          <w:sz w:val="32"/>
          <w:szCs w:val="32"/>
          <w:highlight w:val="none"/>
          <w:lang w:val="en-US" w:eastAsia="zh-CN" w:bidi="ar-SA"/>
        </w:rPr>
        <w:t>一</w:t>
      </w:r>
      <w:r>
        <w:rPr>
          <w:rFonts w:hint="eastAsia" w:ascii="Times New Roman" w:hAnsi="Times New Roman" w:eastAsia="仿宋_GB2312" w:cs="Times New Roman"/>
          <w:sz w:val="32"/>
          <w:szCs w:val="32"/>
          <w:u w:val="none"/>
          <w:lang w:val="en-US" w:eastAsia="zh-CN" w:bidi="ar"/>
        </w:rPr>
        <w:t>、收入支出决算总表</w:t>
      </w:r>
      <w:bookmarkEnd w:id="95"/>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96" w:name="_Toc15396620"/>
      <w:r>
        <w:rPr>
          <w:rFonts w:hint="eastAsia" w:ascii="Times New Roman" w:hAnsi="Times New Roman" w:eastAsia="仿宋_GB2312" w:cs="Times New Roman"/>
          <w:sz w:val="32"/>
          <w:szCs w:val="32"/>
          <w:u w:val="none"/>
          <w:lang w:val="en-US" w:eastAsia="zh-CN" w:bidi="ar"/>
        </w:rPr>
        <w:t>二、收入决算表</w:t>
      </w:r>
      <w:bookmarkEnd w:id="96"/>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97" w:name="_Toc15396621"/>
      <w:r>
        <w:rPr>
          <w:rFonts w:hint="eastAsia" w:ascii="Times New Roman" w:hAnsi="Times New Roman" w:eastAsia="仿宋_GB2312" w:cs="Times New Roman"/>
          <w:sz w:val="32"/>
          <w:szCs w:val="32"/>
          <w:u w:val="none"/>
          <w:lang w:val="en-US" w:eastAsia="zh-CN" w:bidi="ar"/>
        </w:rPr>
        <w:t>三、支出决算表</w:t>
      </w:r>
      <w:bookmarkEnd w:id="97"/>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98" w:name="_Toc15396622"/>
      <w:r>
        <w:rPr>
          <w:rFonts w:hint="eastAsia" w:ascii="Times New Roman" w:hAnsi="Times New Roman" w:eastAsia="仿宋_GB2312" w:cs="Times New Roman"/>
          <w:sz w:val="32"/>
          <w:szCs w:val="32"/>
          <w:u w:val="none"/>
          <w:lang w:val="en-US" w:eastAsia="zh-CN" w:bidi="ar"/>
        </w:rPr>
        <w:t>四、财政拨款收入支出决算总表</w:t>
      </w:r>
      <w:bookmarkEnd w:id="98"/>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99" w:name="_Toc15396623"/>
      <w:r>
        <w:rPr>
          <w:rFonts w:hint="eastAsia" w:ascii="Times New Roman" w:hAnsi="Times New Roman" w:eastAsia="仿宋_GB2312" w:cs="Times New Roman"/>
          <w:sz w:val="32"/>
          <w:szCs w:val="32"/>
          <w:u w:val="none"/>
          <w:lang w:val="en-US" w:eastAsia="zh-CN" w:bidi="ar"/>
        </w:rPr>
        <w:t>五、财政拨款支出决算明细表</w:t>
      </w:r>
      <w:bookmarkEnd w:id="99"/>
      <w:bookmarkStart w:id="100" w:name="_Toc15396624"/>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六、一般公共预算财政拨款支出决算表</w:t>
      </w:r>
      <w:bookmarkEnd w:id="100"/>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101" w:name="_Toc15396625"/>
      <w:r>
        <w:rPr>
          <w:rFonts w:hint="eastAsia" w:ascii="Times New Roman" w:hAnsi="Times New Roman" w:eastAsia="仿宋_GB2312" w:cs="Times New Roman"/>
          <w:sz w:val="32"/>
          <w:szCs w:val="32"/>
          <w:u w:val="none"/>
          <w:lang w:val="en-US" w:eastAsia="zh-CN" w:bidi="ar"/>
        </w:rPr>
        <w:t>七、一般公共预算财政拨款支出决算明细表</w:t>
      </w:r>
      <w:bookmarkEnd w:id="101"/>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102" w:name="_Toc15396626"/>
      <w:r>
        <w:rPr>
          <w:rFonts w:hint="eastAsia" w:ascii="Times New Roman" w:hAnsi="Times New Roman" w:eastAsia="仿宋_GB2312" w:cs="Times New Roman"/>
          <w:sz w:val="32"/>
          <w:szCs w:val="32"/>
          <w:u w:val="none"/>
          <w:lang w:val="en-US" w:eastAsia="zh-CN" w:bidi="ar"/>
        </w:rPr>
        <w:t>八、一般公共预算财政拨款基本支出决算表</w:t>
      </w:r>
      <w:bookmarkEnd w:id="102"/>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103" w:name="_Toc15396627"/>
      <w:r>
        <w:rPr>
          <w:rFonts w:hint="eastAsia" w:ascii="Times New Roman" w:hAnsi="Times New Roman" w:eastAsia="仿宋_GB2312" w:cs="Times New Roman"/>
          <w:sz w:val="32"/>
          <w:szCs w:val="32"/>
          <w:u w:val="none"/>
          <w:lang w:val="en-US" w:eastAsia="zh-CN" w:bidi="ar"/>
        </w:rPr>
        <w:t>九、一般公共预算财政拨款项目支出决算表</w:t>
      </w:r>
      <w:bookmarkEnd w:id="103"/>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104" w:name="_Toc15396628"/>
      <w:r>
        <w:rPr>
          <w:rFonts w:hint="eastAsia" w:ascii="Times New Roman" w:hAnsi="Times New Roman" w:eastAsia="仿宋_GB2312" w:cs="Times New Roman"/>
          <w:sz w:val="32"/>
          <w:szCs w:val="32"/>
          <w:u w:val="none"/>
          <w:lang w:val="en-US" w:eastAsia="zh-CN" w:bidi="ar"/>
        </w:rPr>
        <w:t>十、</w:t>
      </w:r>
      <w:bookmarkEnd w:id="104"/>
      <w:r>
        <w:rPr>
          <w:rFonts w:hint="eastAsia" w:ascii="Times New Roman" w:hAnsi="Times New Roman" w:eastAsia="仿宋_GB2312" w:cs="Times New Roman"/>
          <w:sz w:val="32"/>
          <w:szCs w:val="32"/>
          <w:u w:val="none"/>
          <w:lang w:val="en-US" w:eastAsia="zh-CN" w:bidi="ar"/>
        </w:rPr>
        <w:t>政府性基金预算财政拨款收入支出决算表</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105" w:name="_Toc15396629"/>
      <w:r>
        <w:rPr>
          <w:rFonts w:hint="eastAsia" w:ascii="Times New Roman" w:hAnsi="Times New Roman" w:eastAsia="仿宋_GB2312" w:cs="Times New Roman"/>
          <w:sz w:val="32"/>
          <w:szCs w:val="32"/>
          <w:u w:val="none"/>
          <w:lang w:val="en-US" w:eastAsia="zh-CN" w:bidi="ar"/>
        </w:rPr>
        <w:t>十一、</w:t>
      </w:r>
      <w:bookmarkEnd w:id="105"/>
      <w:r>
        <w:rPr>
          <w:rFonts w:hint="eastAsia" w:ascii="Times New Roman" w:hAnsi="Times New Roman" w:eastAsia="仿宋_GB2312" w:cs="Times New Roman"/>
          <w:sz w:val="32"/>
          <w:szCs w:val="32"/>
          <w:u w:val="none"/>
          <w:lang w:val="en-US" w:eastAsia="zh-CN" w:bidi="ar"/>
        </w:rPr>
        <w:t>国有资本经营预算财政拨款收入支出决算表</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106" w:name="_Toc15396630"/>
      <w:r>
        <w:rPr>
          <w:rFonts w:hint="eastAsia" w:ascii="Times New Roman" w:hAnsi="Times New Roman" w:eastAsia="仿宋_GB2312" w:cs="Times New Roman"/>
          <w:sz w:val="32"/>
          <w:szCs w:val="32"/>
          <w:u w:val="none"/>
          <w:lang w:val="en-US" w:eastAsia="zh-CN" w:bidi="ar"/>
        </w:rPr>
        <w:t>十二、</w:t>
      </w:r>
      <w:bookmarkEnd w:id="106"/>
      <w:r>
        <w:rPr>
          <w:rFonts w:hint="eastAsia" w:ascii="Times New Roman" w:hAnsi="Times New Roman" w:eastAsia="仿宋_GB2312" w:cs="Times New Roman"/>
          <w:sz w:val="32"/>
          <w:szCs w:val="32"/>
          <w:u w:val="none"/>
          <w:lang w:val="en-US" w:eastAsia="zh-CN" w:bidi="ar"/>
        </w:rPr>
        <w:t>国有资本经营预算财政拨款支出决算表</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107" w:name="_Toc15396631"/>
      <w:r>
        <w:rPr>
          <w:rFonts w:hint="eastAsia" w:ascii="Times New Roman" w:hAnsi="Times New Roman" w:eastAsia="仿宋_GB2312" w:cs="Times New Roman"/>
          <w:sz w:val="32"/>
          <w:szCs w:val="32"/>
          <w:u w:val="none"/>
          <w:lang w:val="en-US" w:eastAsia="zh-CN" w:bidi="ar"/>
        </w:rPr>
        <w:t>十三、</w:t>
      </w:r>
      <w:bookmarkEnd w:id="107"/>
      <w:r>
        <w:rPr>
          <w:rFonts w:hint="eastAsia" w:ascii="Times New Roman" w:hAnsi="Times New Roman" w:eastAsia="仿宋_GB2312" w:cs="Times New Roman"/>
          <w:sz w:val="32"/>
          <w:szCs w:val="32"/>
          <w:u w:val="none"/>
          <w:lang w:val="en-US" w:eastAsia="zh-CN" w:bidi="ar"/>
        </w:rPr>
        <w:t>财政拨款“三公”经费支出决算表</w:t>
      </w:r>
    </w:p>
    <w:p>
      <w:pPr>
        <w:rPr>
          <w:rFonts w:hint="eastAsia" w:ascii="宋体" w:hAnsi="宋体" w:eastAsia="宋体" w:cs="宋体"/>
        </w:rPr>
      </w:pPr>
    </w:p>
    <w:sectPr>
      <w:pgSz w:w="11906" w:h="16838"/>
      <w:pgMar w:top="1440" w:right="1800" w:bottom="1440" w:left="11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auto"/>
    <w:pitch w:val="default"/>
    <w:sig w:usb0="A00002EF" w:usb1="4000207B"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7446"/>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4C097"/>
    <w:multiLevelType w:val="singleLevel"/>
    <w:tmpl w:val="8234C097"/>
    <w:lvl w:ilvl="0" w:tentative="0">
      <w:start w:val="8"/>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RkNjc0ZGNhYzU0YTg3ZGU4MWVlYjY5MjM3ZTUifQ=="/>
  </w:docVars>
  <w:rsids>
    <w:rsidRoot w:val="18C2047A"/>
    <w:rsid w:val="00394C20"/>
    <w:rsid w:val="08811E18"/>
    <w:rsid w:val="0B8A7F80"/>
    <w:rsid w:val="0DB55BBD"/>
    <w:rsid w:val="10B02A87"/>
    <w:rsid w:val="10EC085B"/>
    <w:rsid w:val="122D17FD"/>
    <w:rsid w:val="17EC61EC"/>
    <w:rsid w:val="18C2047A"/>
    <w:rsid w:val="19047267"/>
    <w:rsid w:val="19EF40C6"/>
    <w:rsid w:val="1B132036"/>
    <w:rsid w:val="1B2D759B"/>
    <w:rsid w:val="1BCD6688"/>
    <w:rsid w:val="1DAB2A34"/>
    <w:rsid w:val="1E442944"/>
    <w:rsid w:val="20360CA0"/>
    <w:rsid w:val="20F876CC"/>
    <w:rsid w:val="26241155"/>
    <w:rsid w:val="29CD64F3"/>
    <w:rsid w:val="2D7050C6"/>
    <w:rsid w:val="2DAC5287"/>
    <w:rsid w:val="2F5D6DE7"/>
    <w:rsid w:val="2FFB7FB9"/>
    <w:rsid w:val="32301583"/>
    <w:rsid w:val="33E1048F"/>
    <w:rsid w:val="3410047A"/>
    <w:rsid w:val="38975BFC"/>
    <w:rsid w:val="3B922D1B"/>
    <w:rsid w:val="3C93638E"/>
    <w:rsid w:val="42E13A6D"/>
    <w:rsid w:val="4D751206"/>
    <w:rsid w:val="4DFB3ED8"/>
    <w:rsid w:val="4E8B5DB1"/>
    <w:rsid w:val="506D2EE9"/>
    <w:rsid w:val="554963A1"/>
    <w:rsid w:val="57622F59"/>
    <w:rsid w:val="5B7200D7"/>
    <w:rsid w:val="5F967DB1"/>
    <w:rsid w:val="62F33D1A"/>
    <w:rsid w:val="65E63B9C"/>
    <w:rsid w:val="6F6C4724"/>
    <w:rsid w:val="70DA42FD"/>
    <w:rsid w:val="722A4E10"/>
    <w:rsid w:val="72A16CE8"/>
    <w:rsid w:val="79586707"/>
    <w:rsid w:val="7BBA5B29"/>
    <w:rsid w:val="7BC55D84"/>
    <w:rsid w:val="7CCC7322"/>
    <w:rsid w:val="E8DA0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99"/>
    <w:pPr>
      <w:spacing w:line="560" w:lineRule="exact"/>
      <w:ind w:firstLine="640" w:firstLineChars="200"/>
    </w:pPr>
    <w:rPr>
      <w:rFonts w:eastAsia="方正仿宋简体"/>
      <w:sz w:val="32"/>
      <w:szCs w:val="22"/>
    </w:rPr>
  </w:style>
  <w:style w:type="paragraph" w:styleId="5">
    <w:name w:val="index 6"/>
    <w:basedOn w:val="1"/>
    <w:next w:val="1"/>
    <w:qFormat/>
    <w:uiPriority w:val="0"/>
    <w:pPr>
      <w:ind w:left="1000" w:leftChars="1000"/>
    </w:pPr>
    <w:rPr>
      <w:rFonts w:eastAsia="方正仿宋简体" w:cs="Times New Roman"/>
      <w:sz w:val="32"/>
      <w:szCs w:val="24"/>
    </w:rPr>
  </w:style>
  <w:style w:type="paragraph" w:styleId="6">
    <w:name w:val="Body Text"/>
    <w:basedOn w:val="1"/>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next w:val="8"/>
    <w:semiHidden/>
    <w:qFormat/>
    <w:uiPriority w:val="0"/>
    <w:pPr>
      <w:snapToGrid w:val="0"/>
      <w:jc w:val="left"/>
    </w:pPr>
    <w:rPr>
      <w:sz w:val="18"/>
      <w:szCs w:val="1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00FF"/>
      <w:u w:val="single"/>
    </w:rPr>
  </w:style>
  <w:style w:type="paragraph" w:customStyle="1" w:styleId="19">
    <w:name w:val="Default"/>
    <w:next w:val="5"/>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0">
    <w:name w:val="标题 1 Char"/>
    <w:basedOn w:val="16"/>
    <w:link w:val="3"/>
    <w:qFormat/>
    <w:uiPriority w:val="9"/>
    <w:rPr>
      <w:b/>
      <w:bCs/>
      <w:kern w:val="44"/>
      <w:sz w:val="44"/>
      <w:szCs w:val="44"/>
    </w:rPr>
  </w:style>
  <w:style w:type="character" w:customStyle="1" w:styleId="21">
    <w:name w:val="标题 2 Char"/>
    <w:basedOn w:val="16"/>
    <w:link w:val="4"/>
    <w:qFormat/>
    <w:uiPriority w:val="9"/>
    <w:rPr>
      <w:rFonts w:asciiTheme="majorHAnsi" w:hAnsiTheme="majorHAnsi" w:eastAsiaTheme="majorEastAsia" w:cstheme="majorBidi"/>
      <w:b/>
      <w:bCs/>
      <w:sz w:val="32"/>
      <w:szCs w:val="32"/>
    </w:rPr>
  </w:style>
  <w:style w:type="paragraph" w:styleId="22">
    <w:name w:val="List Paragraph"/>
    <w:basedOn w:val="1"/>
    <w:qFormat/>
    <w:uiPriority w:val="34"/>
    <w:pPr>
      <w:ind w:firstLine="420" w:firstLineChars="200"/>
    </w:pPr>
  </w:style>
  <w:style w:type="character" w:customStyle="1" w:styleId="23">
    <w:name w:val="默认段落字体1"/>
    <w:qFormat/>
    <w:uiPriority w:val="0"/>
  </w:style>
  <w:style w:type="paragraph" w:customStyle="1" w:styleId="24">
    <w:name w:val="报告正文"/>
    <w:basedOn w:val="1"/>
    <w:qFormat/>
    <w:uiPriority w:val="0"/>
    <w:pPr>
      <w:spacing w:line="600" w:lineRule="exact"/>
      <w:ind w:firstLine="200" w:firstLineChars="200"/>
    </w:pPr>
    <w:rPr>
      <w:rFonts w:eastAsia="仿宋"/>
      <w:kern w:val="0"/>
      <w:sz w:val="32"/>
      <w:szCs w:val="28"/>
      <w:lang w:val="zh-CN"/>
    </w:rPr>
  </w:style>
  <w:style w:type="paragraph" w:customStyle="1" w:styleId="25">
    <w:name w:val="汇政正文-最终版"/>
    <w:basedOn w:val="1"/>
    <w:qFormat/>
    <w:uiPriority w:val="3"/>
    <w:pPr>
      <w:spacing w:line="600" w:lineRule="exact"/>
      <w:ind w:firstLine="200" w:firstLineChars="200"/>
    </w:pPr>
    <w:rPr>
      <w:rFonts w:eastAsia="仿宋_GB2312"/>
      <w:kern w:val="0"/>
      <w:sz w:val="32"/>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34"/>
    <customShpInfo spid="_x0000_s1035"/>
    <customShpInfo spid="_x0000_s1028"/>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18575</Words>
  <Characters>20971</Characters>
  <Lines>0</Lines>
  <Paragraphs>0</Paragraphs>
  <TotalTime>10</TotalTime>
  <ScaleCrop>false</ScaleCrop>
  <LinksUpToDate>false</LinksUpToDate>
  <CharactersWithSpaces>21056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2024-02-29T21:09:00Z</dcterms:created>
  <dc:creator>爱拼才会赢</dc:creator>
  <cp:lastModifiedBy>dzb</cp:lastModifiedBy>
  <dcterms:modified xsi:type="dcterms:W3CDTF">2024-11-01T16:50:09Z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95CB89A9FCF64F308AE6DC6D0593210E_13</vt:lpwstr>
  </property>
</Properties>
</file>