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75" w:beforeAutospacing="0" w:after="75" w:afterAutospacing="0"/>
        <w:ind w:left="0" w:right="0" w:firstLine="0"/>
        <w:jc w:val="both"/>
        <w:rPr>
          <w:rStyle w:val="9"/>
          <w:rFonts w:hint="eastAsia" w:ascii="方正小标宋简体" w:hAnsi="方正小标宋简体" w:eastAsia="方正小标宋简体" w:cs="方正小标宋简体"/>
          <w:sz w:val="52"/>
          <w:szCs w:val="52"/>
        </w:rPr>
      </w:pPr>
    </w:p>
    <w:p>
      <w:pPr>
        <w:pStyle w:val="5"/>
        <w:keepNext w:val="0"/>
        <w:keepLines w:val="0"/>
        <w:widowControl/>
        <w:suppressLineNumbers w:val="0"/>
        <w:spacing w:before="75" w:beforeAutospacing="0" w:after="75" w:afterAutospacing="0"/>
        <w:ind w:left="0" w:right="0" w:firstLine="0"/>
        <w:jc w:val="both"/>
        <w:rPr>
          <w:rStyle w:val="9"/>
          <w:rFonts w:hint="eastAsia" w:ascii="方正小标宋简体" w:hAnsi="方正小标宋简体" w:eastAsia="方正小标宋简体" w:cs="方正小标宋简体"/>
          <w:sz w:val="52"/>
          <w:szCs w:val="52"/>
        </w:rPr>
      </w:pPr>
    </w:p>
    <w:p>
      <w:pPr>
        <w:pStyle w:val="5"/>
        <w:keepNext w:val="0"/>
        <w:keepLines w:val="0"/>
        <w:widowControl/>
        <w:suppressLineNumbers w:val="0"/>
        <w:spacing w:before="75" w:beforeAutospacing="0" w:after="75" w:afterAutospacing="0"/>
        <w:ind w:left="0" w:right="0" w:firstLine="0"/>
        <w:jc w:val="both"/>
        <w:rPr>
          <w:rStyle w:val="9"/>
          <w:rFonts w:hint="eastAsia" w:ascii="方正小标宋简体" w:hAnsi="方正小标宋简体" w:eastAsia="方正小标宋简体" w:cs="方正小标宋简体"/>
          <w:sz w:val="52"/>
          <w:szCs w:val="52"/>
        </w:rPr>
      </w:pPr>
    </w:p>
    <w:p>
      <w:pPr>
        <w:pStyle w:val="5"/>
        <w:keepNext w:val="0"/>
        <w:keepLines w:val="0"/>
        <w:widowControl/>
        <w:suppressLineNumbers w:val="0"/>
        <w:spacing w:before="75" w:beforeAutospacing="0" w:after="75" w:afterAutospacing="0"/>
        <w:ind w:left="0" w:right="0" w:firstLine="0"/>
        <w:jc w:val="center"/>
        <w:rPr>
          <w:rStyle w:val="9"/>
          <w:rFonts w:hint="eastAsia" w:ascii="方正小标宋简体" w:hAnsi="方正小标宋简体" w:eastAsia="方正小标宋简体" w:cs="方正小标宋简体"/>
          <w:spacing w:val="-20"/>
          <w:sz w:val="52"/>
          <w:szCs w:val="52"/>
          <w:lang w:val="en-US" w:eastAsia="zh-CN"/>
        </w:rPr>
      </w:pPr>
      <w:r>
        <w:rPr>
          <w:rStyle w:val="9"/>
          <w:rFonts w:hint="eastAsia" w:ascii="方正小标宋简体" w:hAnsi="方正小标宋简体" w:eastAsia="方正小标宋简体" w:cs="方正小标宋简体"/>
          <w:spacing w:val="-20"/>
          <w:sz w:val="52"/>
          <w:szCs w:val="52"/>
        </w:rPr>
        <w:t>遂宁经济技术开发区</w:t>
      </w:r>
      <w:r>
        <w:rPr>
          <w:rStyle w:val="9"/>
          <w:rFonts w:hint="eastAsia" w:ascii="方正小标宋简体" w:hAnsi="方正小标宋简体" w:eastAsia="方正小标宋简体" w:cs="方正小标宋简体"/>
          <w:spacing w:val="-20"/>
          <w:sz w:val="52"/>
          <w:szCs w:val="52"/>
          <w:lang w:val="en-US" w:eastAsia="zh-CN"/>
        </w:rPr>
        <w:t>商务与文旅中心</w:t>
      </w:r>
    </w:p>
    <w:p>
      <w:pPr>
        <w:pStyle w:val="5"/>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4"/>
          <w:szCs w:val="24"/>
        </w:rPr>
      </w:pPr>
      <w:r>
        <w:rPr>
          <w:rStyle w:val="9"/>
          <w:rFonts w:hint="eastAsia" w:ascii="方正小标宋简体" w:hAnsi="方正小标宋简体" w:eastAsia="方正小标宋简体" w:cs="方正小标宋简体"/>
          <w:sz w:val="52"/>
          <w:szCs w:val="52"/>
          <w:lang w:val="en-US" w:eastAsia="zh-CN"/>
        </w:rPr>
        <w:t>2024</w:t>
      </w:r>
      <w:r>
        <w:rPr>
          <w:rFonts w:hint="default" w:ascii="方正小标宋简体" w:hAnsi="方正小标宋简体" w:eastAsia="方正小标宋简体" w:cs="方正小标宋简体"/>
          <w:i w:val="0"/>
          <w:caps w:val="0"/>
          <w:color w:val="000000"/>
          <w:spacing w:val="0"/>
          <w:sz w:val="52"/>
          <w:szCs w:val="52"/>
        </w:rPr>
        <w:t>年部门预算</w:t>
      </w: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5"/>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caps w:val="0"/>
          <w:color w:val="000000"/>
          <w:spacing w:val="0"/>
          <w:sz w:val="24"/>
          <w:szCs w:val="24"/>
        </w:rPr>
      </w:pPr>
      <w:r>
        <w:rPr>
          <w:rFonts w:ascii="黑体" w:hAnsi="宋体" w:eastAsia="黑体" w:cs="黑体"/>
          <w:i w:val="0"/>
          <w:caps w:val="0"/>
          <w:color w:val="000000"/>
          <w:spacing w:val="0"/>
          <w:sz w:val="32"/>
          <w:szCs w:val="32"/>
        </w:rPr>
        <w:t>目录</w:t>
      </w:r>
    </w:p>
    <w:p>
      <w:pPr>
        <w:pStyle w:val="5"/>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第一部分部门预算编制说明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一、基本职能及主要工作</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二、部门预算单位构成</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三、收支预算情况说明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四、财政拨款收支预算情况说明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五、一般公共预算当年拨款情况说明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六、一般公共预算基本支出情况说明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七、“三公”经费财政拨款预算安排情况说明</w:t>
      </w:r>
    </w:p>
    <w:p>
      <w:pPr>
        <w:pStyle w:val="5"/>
        <w:keepNext w:val="0"/>
        <w:keepLines w:val="0"/>
        <w:widowControl/>
        <w:suppressLineNumbers w:val="0"/>
        <w:spacing w:before="75" w:beforeAutospacing="0" w:after="75" w:afterAutospacing="0" w:line="600" w:lineRule="atLeast"/>
        <w:ind w:left="1278" w:leftChars="304" w:right="0" w:hanging="640" w:hangingChars="20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八、“会议费”“培训费”“差旅费”财政拨款预算安排情况说明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九、政府性基金预算支出情况说明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十、国有资本经营预算支出情况说明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十一、其他重要事项的情况说明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十二、名词解释</w:t>
      </w:r>
    </w:p>
    <w:p>
      <w:pPr>
        <w:pStyle w:val="5"/>
        <w:keepNext w:val="0"/>
        <w:keepLines w:val="0"/>
        <w:widowControl/>
        <w:suppressLineNumbers w:val="0"/>
        <w:spacing w:before="75" w:beforeAutospacing="0" w:after="75" w:afterAutospacing="0" w:line="600" w:lineRule="atLeast"/>
        <w:ind w:left="0" w:right="0" w:firstLine="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第二部分部门预算相关报表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表1.部门收支总表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表1-1.部门收入总表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表1-2.部门支出总表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表2.财政拨款收支预算总表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表2-1.财政拨款支出预算表（政府经济分类科目）</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表3.一般公共预算支出预算表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表3-1.一般公共预算基本支出预算表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表3-2.一般公共预算项目支出预算表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表3-3.一般公共预算“三公”经费支出预算表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表4.政府性基金支出预算表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表4-1.政府性基金预算“三公”经费支出预算表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表5.国有资本经营预算支出预算表</w:t>
      </w:r>
    </w:p>
    <w:p>
      <w:pPr>
        <w:pStyle w:val="3"/>
        <w:bidi w:val="0"/>
        <w:rPr>
          <w:rFonts w:hint="default" w:ascii="黑体" w:hAnsi="宋体" w:eastAsia="黑体" w:cs="黑体"/>
          <w:i w:val="0"/>
          <w:caps w:val="0"/>
          <w:color w:val="000000"/>
          <w:spacing w:val="0"/>
          <w:kern w:val="0"/>
          <w:sz w:val="32"/>
          <w:szCs w:val="32"/>
          <w:lang w:val="en-US" w:eastAsia="zh-CN" w:bidi="ar"/>
        </w:rPr>
      </w:pPr>
      <w:r>
        <w:rPr>
          <w:rFonts w:hint="default" w:ascii="黑体" w:hAnsi="宋体" w:eastAsia="黑体" w:cs="黑体"/>
          <w:i w:val="0"/>
          <w:caps w:val="0"/>
          <w:color w:val="000000"/>
          <w:spacing w:val="0"/>
          <w:kern w:val="0"/>
          <w:sz w:val="32"/>
          <w:szCs w:val="32"/>
          <w:lang w:val="en-US" w:eastAsia="zh-CN" w:bidi="ar"/>
        </w:rPr>
        <w:t>第三部分部门预算绩效目标表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表1.部门整体支出绩效目标表</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表2.部门预算项目支出绩效目标表</w:t>
      </w: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widowControl/>
        <w:suppressLineNumbers w:val="0"/>
        <w:spacing w:before="75" w:beforeAutospacing="0" w:after="75" w:afterAutospacing="0" w:line="600" w:lineRule="atLeast"/>
        <w:ind w:left="0" w:right="0" w:firstLine="0"/>
        <w:rPr>
          <w:rFonts w:hint="default" w:ascii="仿宋_GB2312" w:hAnsi="sans-serif" w:eastAsia="仿宋_GB2312" w:cs="仿宋_GB2312"/>
          <w:i w:val="0"/>
          <w:caps w:val="0"/>
          <w:color w:val="000000"/>
          <w:spacing w:val="0"/>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eastAsia="zh-CN"/>
        </w:rPr>
        <w:t>遂宁经济技术开发区</w:t>
      </w:r>
      <w:r>
        <w:rPr>
          <w:rFonts w:hint="eastAsia" w:ascii="方正小标宋简体" w:eastAsia="方正小标宋简体"/>
          <w:sz w:val="44"/>
          <w:szCs w:val="44"/>
          <w:lang w:val="en-US" w:eastAsia="zh-CN"/>
        </w:rPr>
        <w:t>商务与文旅中心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sans-serif" w:hAnsi="sans-serif" w:eastAsia="sans-serif" w:cs="sans-serif"/>
          <w:i w:val="0"/>
          <w:caps w:val="0"/>
          <w:color w:val="000000"/>
          <w:spacing w:val="0"/>
          <w:sz w:val="24"/>
          <w:szCs w:val="24"/>
        </w:rPr>
      </w:pPr>
      <w:r>
        <w:rPr>
          <w:rFonts w:hint="eastAsia" w:ascii="方正小标宋简体" w:eastAsia="方正小标宋简体" w:cs="Times New Roman"/>
          <w:sz w:val="44"/>
          <w:szCs w:val="44"/>
          <w:lang w:val="en-US" w:eastAsia="zh-CN"/>
        </w:rPr>
        <w:t>2024</w:t>
      </w:r>
      <w:r>
        <w:rPr>
          <w:rFonts w:hint="default" w:ascii="方正小标宋简体" w:hAnsi="方正小标宋简体" w:eastAsia="方正小标宋简体" w:cs="方正小标宋简体"/>
          <w:i w:val="0"/>
          <w:caps w:val="0"/>
          <w:color w:val="000000"/>
          <w:spacing w:val="0"/>
          <w:sz w:val="43"/>
          <w:szCs w:val="43"/>
        </w:rPr>
        <w:t>年部门预算编制说明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一、基本职能及主要工作</w:t>
      </w:r>
    </w:p>
    <w:p>
      <w:pPr>
        <w:pStyle w:val="12"/>
        <w:keepNext w:val="0"/>
        <w:keepLines w:val="0"/>
        <w:pageBreakBefore w:val="0"/>
        <w:kinsoku/>
        <w:wordWrap/>
        <w:overflowPunct/>
        <w:topLinePunct w:val="0"/>
        <w:autoSpaceDE/>
        <w:autoSpaceDN/>
        <w:bidi w:val="0"/>
        <w:adjustRightInd/>
        <w:snapToGrid/>
        <w:spacing w:line="576" w:lineRule="exact"/>
        <w:ind w:firstLine="634"/>
        <w:textAlignment w:val="auto"/>
        <w:rPr>
          <w:rStyle w:val="9"/>
          <w:rFonts w:ascii="仿宋_GB2312" w:hAnsi="仿宋_GB2312" w:eastAsia="仿宋_GB2312"/>
          <w:b/>
        </w:rPr>
      </w:pPr>
      <w:r>
        <w:rPr>
          <w:rStyle w:val="9"/>
          <w:rFonts w:ascii="仿宋_GB2312" w:hAnsi="仿宋_GB2312" w:eastAsia="仿宋_GB2312"/>
          <w:b/>
        </w:rPr>
        <w:t xml:space="preserve">（一） </w:t>
      </w:r>
      <w:r>
        <w:rPr>
          <w:rStyle w:val="9"/>
          <w:rFonts w:hint="eastAsia" w:ascii="仿宋_GB2312" w:hAnsi="仿宋_GB2312" w:eastAsia="仿宋_GB2312"/>
          <w:b/>
          <w:lang w:val="en-US" w:eastAsia="zh-CN"/>
        </w:rPr>
        <w:t>商务文旅中心</w:t>
      </w:r>
      <w:r>
        <w:rPr>
          <w:rStyle w:val="9"/>
          <w:rFonts w:ascii="仿宋_GB2312" w:hAnsi="仿宋_GB2312" w:eastAsia="仿宋_GB2312"/>
          <w:b/>
        </w:rPr>
        <w:t>职能简介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1.承担全区服务业发展工作的牵头协调职责;加强政策性资金对服务业发展的支持;积极引导信贷资金和社会资本投入服务业;加大服务业对外开放力度。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2.负责全区物流产业推进和牵头做好综合协调工作;拟定和组织贯彻落实现代物流业发展政策;推进物流产业结构调整，加快第三方物流发展。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贯彻落实国家、省、市有关国内外贸易、国际经济合作的法律、法规和方针、政策，拟订全区国内外贸易的相关政策、规范性文件和实施细则，制订全区商务发展规划、年度计划并组织实施。牵头负责服务业经济目标责任考核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4.指导流通企业改革、商贸服务业和社区商业发展，提出促进商贸企业发展的政策建议，推动流通标准化和连锁经营、物流配送、电子商务等现代流通方式的发展。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城市商业网点规划和商业体系建设工作;对市场经济活动中的重大问题进行调研;承担组织实施重要消费品市场调控和重要生产资料流通管理的责任,负责建立健全生活必需品市场供应应急管理机制，监测分析市场运行、商品供求状况调查分析商品价格信息，进行预测预警和信息引导，按分工负责市场调控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拟定促进转变外贸增长方式的政策措施，指导对外贸易行业执行国家进出口商品、加工贸易管理办法和进出口管理商品、技术目录;推进进出口贸易标准化工作;加强发展服务贸易相关工作，推进服务外包发展;指导贸易促进活动和外贸促进体系建设。</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7.管理我区赴境外举办的各种商品交易会和经贸推介活动。指导管理以我区名义在境内举办的各种商贸交易会、展览会、展销会等活动。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贯彻执行党和国家文化、旅游、文物及广播电视事业发展的路线、方针、政策和法律法规;贯彻执行省、市、区关于文化、文物、广播电视和旅游事业工作部署。组织开展群众性文化、文艺创作、公共文化服务、中华优秀传统文化传承和发扬等活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协调文化和旅游产业发展，研究提出有关政策建议，协调推动重大文化和旅游产业项目建设，组织协调开展重大文化和旅游产业活动，指导协调文化和旅游科技创新和金融发展。负责全区文化遗产保护和管理工作，配合做好文化市场的综合执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推进流通领域资源节约和环境保护，规范再生资源回收利用、报废机动车回收拆解行业布局，落实行业主管部门职能职责。负责消耗臭氧层物质有关监督管理工作。在职责范围内，配合相关部门对易制毒化学品进出口的监督检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负责全区商贸、文化、旅游行业(领域)安全生产和生态环境保护监督管理工作。指导、督促文化馆、博物馆、酒吧(有文艺演出活动的)、KTV、星级饭店、旅游景区、玻璃找道、民宿、剧本经营娱乐场所，大型商业综合体、商场内商贸流通生产经</w:t>
      </w:r>
      <w:r>
        <w:rPr>
          <w:rFonts w:hint="eastAsia" w:ascii="仿宋_GB2312" w:hAnsi="仿宋_GB2312" w:eastAsia="仿宋_GB2312" w:cs="仿宋_GB2312"/>
          <w:sz w:val="32"/>
          <w:szCs w:val="32"/>
          <w:lang w:eastAsia="zh-CN"/>
        </w:rPr>
        <w:t>营</w:t>
      </w:r>
      <w:bookmarkStart w:id="0" w:name="_GoBack"/>
      <w:bookmarkEnd w:id="0"/>
      <w:r>
        <w:rPr>
          <w:rFonts w:hint="eastAsia" w:ascii="仿宋_GB2312" w:hAnsi="仿宋_GB2312" w:eastAsia="仿宋_GB2312" w:cs="仿宋_GB2312"/>
          <w:sz w:val="32"/>
          <w:szCs w:val="32"/>
        </w:rPr>
        <w:t>单位和商贸交易会、展览会、展销会等活动安全管理工作(含上述有关场所内的共享服务项目和小型游乐设施设备等)。</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12.完成党工委、管委会和上级有关部门交办的其他工作。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30"/>
        <w:textAlignment w:val="auto"/>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（二）</w:t>
      </w:r>
      <w:r>
        <w:rPr>
          <w:rStyle w:val="8"/>
          <w:rFonts w:hint="eastAsia" w:ascii="楷体_GB2312" w:hAnsi="sans-serif" w:eastAsia="楷体_GB2312" w:cs="楷体_GB2312"/>
          <w:i w:val="0"/>
          <w:caps w:val="0"/>
          <w:color w:val="000000"/>
          <w:spacing w:val="0"/>
          <w:sz w:val="32"/>
          <w:szCs w:val="32"/>
        </w:rPr>
        <w:t>经开区</w:t>
      </w:r>
      <w:r>
        <w:rPr>
          <w:rStyle w:val="8"/>
          <w:rFonts w:hint="eastAsia" w:ascii="楷体_GB2312" w:hAnsi="sans-serif" w:eastAsia="楷体_GB2312" w:cs="楷体_GB2312"/>
          <w:i w:val="0"/>
          <w:caps w:val="0"/>
          <w:color w:val="000000"/>
          <w:spacing w:val="0"/>
          <w:sz w:val="32"/>
          <w:szCs w:val="32"/>
          <w:lang w:val="en-US" w:eastAsia="zh-CN"/>
        </w:rPr>
        <w:t>商务文旅中心2024</w:t>
      </w:r>
      <w:r>
        <w:rPr>
          <w:rStyle w:val="8"/>
          <w:rFonts w:hint="default" w:ascii="楷体_GB2312" w:hAnsi="sans-serif" w:eastAsia="楷体_GB2312" w:cs="楷体_GB2312"/>
          <w:i w:val="0"/>
          <w:caps w:val="0"/>
          <w:color w:val="000000"/>
          <w:spacing w:val="0"/>
          <w:sz w:val="32"/>
          <w:szCs w:val="32"/>
        </w:rPr>
        <w:t>年重点工作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1.四大特色亮点工作：抓开放平台建设、抓上级资金争取、抓文旅项目招引、抓特色街区升级。</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十大重点行动：实施“开门红”攻坚行动、实施社会消费回暖行动、实施城市商圈提升行动、实施市场主体倍增行动、实施“五经普”强基行动、实施对外开放突破行动、实施旅游品牌创建行动、实施重大活动提质行动、实施文化服务惠民行动、实施底板底线坚守行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30"/>
        <w:textAlignment w:val="auto"/>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二、部门预算单位构成</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下属二级预算单</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个，其中行政单位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个，参照公务员法管理的事业单位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个，其他事业单位</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个。</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三、收支预算情况说明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按照综合预算的原则，</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所有收入和支出均纳入部门预算管理。收入包括：一般公共预算拨款收入；支出包括：一般公共服务支出。</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w:t>
      </w:r>
      <w:r>
        <w:rPr>
          <w:rFonts w:hint="eastAsia" w:ascii="仿宋_GB2312" w:hAnsi="sans-serif" w:eastAsia="仿宋_GB2312" w:cs="仿宋_GB2312"/>
          <w:i w:val="0"/>
          <w:caps w:val="0"/>
          <w:color w:val="000000"/>
          <w:spacing w:val="0"/>
          <w:sz w:val="32"/>
          <w:szCs w:val="32"/>
          <w:lang w:val="en-US" w:eastAsia="zh-CN"/>
        </w:rPr>
        <w:t>2023</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13.52</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val="en-US" w:eastAsia="zh-CN"/>
        </w:rPr>
        <w:t>2024年收支总预算30.27万元，</w:t>
      </w:r>
      <w:r>
        <w:rPr>
          <w:rFonts w:hint="default" w:ascii="仿宋_GB2312" w:hAnsi="sans-serif" w:eastAsia="仿宋_GB2312" w:cs="仿宋_GB2312"/>
          <w:i w:val="0"/>
          <w:caps w:val="0"/>
          <w:color w:val="000000"/>
          <w:spacing w:val="0"/>
          <w:sz w:val="32"/>
          <w:szCs w:val="32"/>
        </w:rPr>
        <w:t>较上年收支预算总数</w:t>
      </w:r>
      <w:r>
        <w:rPr>
          <w:rFonts w:hint="eastAsia" w:ascii="仿宋_GB2312" w:hAnsi="sans-serif" w:eastAsia="仿宋_GB2312" w:cs="仿宋_GB2312"/>
          <w:i w:val="0"/>
          <w:caps w:val="0"/>
          <w:color w:val="000000"/>
          <w:spacing w:val="0"/>
          <w:sz w:val="32"/>
          <w:szCs w:val="32"/>
          <w:lang w:val="en-US" w:eastAsia="zh-CN"/>
        </w:rPr>
        <w:t>增加16.75</w:t>
      </w:r>
      <w:r>
        <w:rPr>
          <w:rFonts w:hint="default" w:ascii="仿宋_GB2312" w:hAnsi="sans-serif" w:eastAsia="仿宋_GB2312" w:cs="仿宋_GB2312"/>
          <w:i w:val="0"/>
          <w:caps w:val="0"/>
          <w:color w:val="000000"/>
          <w:spacing w:val="0"/>
          <w:sz w:val="32"/>
          <w:szCs w:val="32"/>
        </w:rPr>
        <w:t>万元</w:t>
      </w:r>
      <w:r>
        <w:rPr>
          <w:rFonts w:hint="eastAsia" w:ascii="仿宋_GB2312" w:hAnsi="sans-serif" w:eastAsia="仿宋_GB2312" w:cs="仿宋_GB2312"/>
          <w:i w:val="0"/>
          <w:caps w:val="0"/>
          <w:color w:val="000000"/>
          <w:spacing w:val="0"/>
          <w:sz w:val="32"/>
          <w:szCs w:val="32"/>
          <w:lang w:eastAsia="zh-CN"/>
        </w:rPr>
        <w:t>，</w:t>
      </w:r>
      <w:r>
        <w:rPr>
          <w:rFonts w:hint="eastAsia" w:ascii="仿宋_GB2312" w:hAnsi="sans-serif" w:eastAsia="仿宋_GB2312" w:cs="仿宋_GB2312"/>
          <w:i w:val="0"/>
          <w:caps w:val="0"/>
          <w:color w:val="000000"/>
          <w:spacing w:val="0"/>
          <w:sz w:val="32"/>
          <w:szCs w:val="32"/>
          <w:lang w:val="en-US" w:eastAsia="zh-CN"/>
        </w:rPr>
        <w:t>一是由于商务文旅中心是2023年5月新成立部门，2023年的预算资金涉及月份仅有8个月，2024年则是全年预算；二是2024年商务文旅中心增加了2名公司借用人员，相应增加了公用经费和体检费；三是2024年新增了餐补和国家级经开区考核工作经费</w:t>
      </w:r>
      <w:r>
        <w:rPr>
          <w:rFonts w:hint="default" w:ascii="仿宋_GB2312" w:hAnsi="sans-serif" w:eastAsia="仿宋_GB2312" w:cs="仿宋_GB2312"/>
          <w:i w:val="0"/>
          <w:caps w:val="0"/>
          <w:color w:val="000000"/>
          <w:spacing w:val="0"/>
          <w:sz w:val="32"/>
          <w:szCs w:val="32"/>
        </w:rPr>
        <w:t>。</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（一）收入预算情况</w:t>
      </w:r>
    </w:p>
    <w:p>
      <w:pPr>
        <w:pStyle w:val="5"/>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年收入预算</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万元，其中：一般公共预算拨款收入</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（二）支出预算情况</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年支出预算</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万元，其中：基本支出</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w:t>
      </w:r>
      <w:r>
        <w:rPr>
          <w:rFonts w:hint="default" w:ascii="仿宋_GB2312" w:hAnsi="sans-serif" w:eastAsia="仿宋_GB2312" w:cs="仿宋_GB2312"/>
          <w:i w:val="0"/>
          <w:caps w:val="0"/>
          <w:color w:val="000000"/>
          <w:spacing w:val="0"/>
          <w:sz w:val="32"/>
          <w:szCs w:val="32"/>
          <w:lang w:val="en-US" w:eastAsia="zh-CN"/>
        </w:rPr>
        <w:t>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四、财政拨款收支预算情况说明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万元，较</w:t>
      </w:r>
      <w:r>
        <w:rPr>
          <w:rFonts w:hint="eastAsia" w:ascii="仿宋_GB2312" w:hAnsi="sans-serif" w:eastAsia="仿宋_GB2312" w:cs="仿宋_GB2312"/>
          <w:i w:val="0"/>
          <w:caps w:val="0"/>
          <w:color w:val="000000"/>
          <w:spacing w:val="0"/>
          <w:sz w:val="32"/>
          <w:szCs w:val="32"/>
          <w:lang w:eastAsia="zh-CN"/>
        </w:rPr>
        <w:t>上</w:t>
      </w:r>
      <w:r>
        <w:rPr>
          <w:rFonts w:hint="default" w:ascii="仿宋_GB2312" w:hAnsi="sans-serif" w:eastAsia="仿宋_GB2312" w:cs="仿宋_GB2312"/>
          <w:i w:val="0"/>
          <w:caps w:val="0"/>
          <w:color w:val="000000"/>
          <w:spacing w:val="0"/>
          <w:sz w:val="32"/>
          <w:szCs w:val="32"/>
        </w:rPr>
        <w:t>年收支预算总数</w:t>
      </w:r>
      <w:r>
        <w:rPr>
          <w:rFonts w:hint="eastAsia" w:ascii="仿宋_GB2312" w:hAnsi="sans-serif" w:eastAsia="仿宋_GB2312" w:cs="仿宋_GB2312"/>
          <w:i w:val="0"/>
          <w:caps w:val="0"/>
          <w:color w:val="000000"/>
          <w:spacing w:val="0"/>
          <w:sz w:val="32"/>
          <w:szCs w:val="32"/>
          <w:u w:val="none"/>
          <w:lang w:val="en-US" w:eastAsia="zh-CN"/>
        </w:rPr>
        <w:t>增加16.75</w:t>
      </w:r>
      <w:r>
        <w:rPr>
          <w:rFonts w:hint="default" w:ascii="仿宋_GB2312" w:hAnsi="sans-serif" w:eastAsia="仿宋_GB2312" w:cs="仿宋_GB2312"/>
          <w:i w:val="0"/>
          <w:caps w:val="0"/>
          <w:color w:val="000000"/>
          <w:spacing w:val="0"/>
          <w:sz w:val="32"/>
          <w:szCs w:val="32"/>
        </w:rPr>
        <w:t>万元。</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收入包括：本年一般公共预算拨款收入</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万元；支出包括：一般公共服务支出</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五、一般公共预算当年拨款情况说明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（一）一般公共预算当年拨款规模变化情况</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年收支总预算</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万元，较</w:t>
      </w:r>
      <w:r>
        <w:rPr>
          <w:rFonts w:hint="eastAsia" w:ascii="仿宋_GB2312" w:hAnsi="sans-serif" w:eastAsia="仿宋_GB2312" w:cs="仿宋_GB2312"/>
          <w:i w:val="0"/>
          <w:caps w:val="0"/>
          <w:color w:val="000000"/>
          <w:spacing w:val="0"/>
          <w:sz w:val="32"/>
          <w:szCs w:val="32"/>
          <w:lang w:eastAsia="zh-CN"/>
        </w:rPr>
        <w:t>上</w:t>
      </w:r>
      <w:r>
        <w:rPr>
          <w:rFonts w:hint="default" w:ascii="仿宋_GB2312" w:hAnsi="sans-serif" w:eastAsia="仿宋_GB2312" w:cs="仿宋_GB2312"/>
          <w:i w:val="0"/>
          <w:caps w:val="0"/>
          <w:color w:val="000000"/>
          <w:spacing w:val="0"/>
          <w:sz w:val="32"/>
          <w:szCs w:val="32"/>
        </w:rPr>
        <w:t>年收支预算总数</w:t>
      </w:r>
      <w:r>
        <w:rPr>
          <w:rFonts w:hint="eastAsia" w:ascii="仿宋_GB2312" w:hAnsi="sans-serif" w:eastAsia="仿宋_GB2312" w:cs="仿宋_GB2312"/>
          <w:i w:val="0"/>
          <w:caps w:val="0"/>
          <w:color w:val="000000"/>
          <w:spacing w:val="0"/>
          <w:sz w:val="32"/>
          <w:szCs w:val="32"/>
          <w:u w:val="none"/>
          <w:lang w:val="en-US" w:eastAsia="zh-CN"/>
        </w:rPr>
        <w:t>增加16.75</w:t>
      </w:r>
      <w:r>
        <w:rPr>
          <w:rFonts w:hint="default" w:ascii="仿宋_GB2312" w:hAnsi="sans-serif" w:eastAsia="仿宋_GB2312" w:cs="仿宋_GB2312"/>
          <w:i w:val="0"/>
          <w:caps w:val="0"/>
          <w:color w:val="000000"/>
          <w:spacing w:val="0"/>
          <w:sz w:val="32"/>
          <w:szCs w:val="32"/>
        </w:rPr>
        <w:t>万元。</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（二）一般公共预算当年拨款结构情况</w:t>
      </w:r>
    </w:p>
    <w:p>
      <w:pPr>
        <w:pStyle w:val="5"/>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一般公共服务支出</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100</w:t>
      </w:r>
      <w:r>
        <w:rPr>
          <w:rFonts w:hint="default" w:ascii="仿宋_GB2312" w:hAnsi="sans-serif" w:eastAsia="仿宋_GB2312" w:cs="仿宋_GB2312"/>
          <w:i w:val="0"/>
          <w:caps w:val="0"/>
          <w:color w:val="000000"/>
          <w:spacing w:val="0"/>
          <w:sz w:val="32"/>
          <w:szCs w:val="32"/>
          <w:lang w:val="en-US" w:eastAsia="zh-CN"/>
        </w:rPr>
        <w:t>%</w:t>
      </w:r>
      <w:r>
        <w:rPr>
          <w:rFonts w:hint="default" w:ascii="仿宋_GB2312" w:hAnsi="sans-serif" w:eastAsia="仿宋_GB2312" w:cs="仿宋_GB2312"/>
          <w:i w:val="0"/>
          <w:caps w:val="0"/>
          <w:color w:val="000000"/>
          <w:spacing w:val="0"/>
          <w:sz w:val="32"/>
          <w:szCs w:val="32"/>
        </w:rPr>
        <w:t>；社会保障和就业支出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%；卫生健康支出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%；住房保障支出</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万元，占</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（三）一般公共预算当年拨款具体使用情况</w:t>
      </w:r>
    </w:p>
    <w:p>
      <w:pPr>
        <w:pStyle w:val="5"/>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FF0000"/>
          <w:spacing w:val="0"/>
          <w:sz w:val="32"/>
          <w:szCs w:val="32"/>
        </w:rPr>
      </w:pPr>
      <w:r>
        <w:rPr>
          <w:rFonts w:hint="default" w:ascii="仿宋_GB2312" w:hAnsi="sans-serif" w:eastAsia="仿宋_GB2312" w:cs="仿宋_GB2312"/>
          <w:i w:val="0"/>
          <w:caps w:val="0"/>
          <w:color w:val="000000"/>
          <w:spacing w:val="0"/>
          <w:sz w:val="32"/>
          <w:szCs w:val="32"/>
          <w:lang w:val="en-US" w:eastAsia="zh-CN"/>
        </w:rPr>
        <w:t>1. </w:t>
      </w:r>
      <w:r>
        <w:rPr>
          <w:rFonts w:hint="default" w:ascii="仿宋_GB2312" w:hAnsi="sans-serif" w:eastAsia="仿宋_GB2312" w:cs="仿宋_GB2312"/>
          <w:i w:val="0"/>
          <w:caps w:val="0"/>
          <w:color w:val="000000"/>
          <w:spacing w:val="0"/>
          <w:sz w:val="32"/>
          <w:szCs w:val="32"/>
        </w:rPr>
        <w:t>一般公共服务（类）</w:t>
      </w:r>
      <w:r>
        <w:rPr>
          <w:rFonts w:hint="eastAsia" w:ascii="仿宋_GB2312" w:hAnsi="sans-serif" w:eastAsia="仿宋_GB2312" w:cs="仿宋_GB2312"/>
          <w:i w:val="0"/>
          <w:caps w:val="0"/>
          <w:color w:val="000000"/>
          <w:spacing w:val="0"/>
          <w:sz w:val="32"/>
          <w:szCs w:val="32"/>
          <w:lang w:eastAsia="zh-CN"/>
        </w:rPr>
        <w:t>统计信息事务</w:t>
      </w:r>
      <w:r>
        <w:rPr>
          <w:rFonts w:hint="default" w:ascii="仿宋_GB2312" w:hAnsi="sans-serif" w:eastAsia="仿宋_GB2312" w:cs="仿宋_GB2312"/>
          <w:i w:val="0"/>
          <w:caps w:val="0"/>
          <w:color w:val="000000"/>
          <w:spacing w:val="0"/>
          <w:sz w:val="32"/>
          <w:szCs w:val="32"/>
        </w:rPr>
        <w:t>（款）行政运行（项）</w:t>
      </w: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13.37</w:t>
      </w:r>
      <w:r>
        <w:rPr>
          <w:rFonts w:hint="default" w:ascii="仿宋_GB2312" w:hAnsi="sans-serif" w:eastAsia="仿宋_GB2312" w:cs="仿宋_GB2312"/>
          <w:i w:val="0"/>
          <w:caps w:val="0"/>
          <w:color w:val="000000"/>
          <w:spacing w:val="0"/>
          <w:sz w:val="32"/>
          <w:szCs w:val="32"/>
        </w:rPr>
        <w:t>万元，主要用于：</w:t>
      </w:r>
      <w:r>
        <w:rPr>
          <w:rFonts w:hint="eastAsia" w:ascii="仿宋_GB2312" w:hAnsi="sans-serif" w:eastAsia="仿宋_GB2312" w:cs="仿宋_GB2312"/>
          <w:i w:val="0"/>
          <w:caps w:val="0"/>
          <w:color w:val="000000"/>
          <w:spacing w:val="0"/>
          <w:sz w:val="32"/>
          <w:szCs w:val="32"/>
        </w:rPr>
        <w:t>局机关正常运转的基本支出，包括办公费、印刷费、邮电费、差旅费、维修（护）费、</w:t>
      </w:r>
      <w:r>
        <w:rPr>
          <w:rFonts w:hint="eastAsia" w:ascii="仿宋_GB2312" w:hAnsi="sans-serif" w:eastAsia="仿宋_GB2312" w:cs="仿宋_GB2312"/>
          <w:i w:val="0"/>
          <w:caps w:val="0"/>
          <w:color w:val="000000"/>
          <w:spacing w:val="0"/>
          <w:sz w:val="32"/>
          <w:szCs w:val="32"/>
          <w:lang w:val="en-US" w:eastAsia="zh-CN"/>
        </w:rPr>
        <w:t>公务</w:t>
      </w:r>
      <w:r>
        <w:rPr>
          <w:rFonts w:hint="eastAsia" w:ascii="仿宋_GB2312" w:hAnsi="sans-serif" w:eastAsia="仿宋_GB2312" w:cs="仿宋_GB2312"/>
          <w:i w:val="0"/>
          <w:caps w:val="0"/>
          <w:color w:val="000000"/>
          <w:spacing w:val="0"/>
          <w:sz w:val="32"/>
          <w:szCs w:val="32"/>
        </w:rPr>
        <w:t>接待费、其他商品和服务支出</w:t>
      </w:r>
      <w:r>
        <w:rPr>
          <w:rFonts w:hint="eastAsia" w:ascii="仿宋_GB2312" w:hAnsi="sans-serif" w:eastAsia="仿宋_GB2312" w:cs="仿宋_GB2312"/>
          <w:i w:val="0"/>
          <w:caps w:val="0"/>
          <w:color w:val="000000"/>
          <w:spacing w:val="0"/>
          <w:sz w:val="32"/>
          <w:szCs w:val="32"/>
          <w:lang w:eastAsia="zh-CN"/>
        </w:rPr>
        <w:t>、</w:t>
      </w:r>
      <w:r>
        <w:rPr>
          <w:rFonts w:hint="eastAsia" w:ascii="仿宋_GB2312" w:hAnsi="sans-serif" w:eastAsia="仿宋_GB2312" w:cs="仿宋_GB2312"/>
          <w:i w:val="0"/>
          <w:caps w:val="0"/>
          <w:color w:val="000000"/>
          <w:spacing w:val="0"/>
          <w:sz w:val="32"/>
          <w:szCs w:val="32"/>
          <w:lang w:val="en-US" w:eastAsia="zh-CN"/>
        </w:rPr>
        <w:t>餐补</w:t>
      </w:r>
      <w:r>
        <w:rPr>
          <w:rFonts w:hint="eastAsia" w:ascii="仿宋_GB2312" w:hAnsi="sans-serif" w:eastAsia="仿宋_GB2312" w:cs="仿宋_GB2312"/>
          <w:i w:val="0"/>
          <w:caps w:val="0"/>
          <w:color w:val="000000"/>
          <w:spacing w:val="0"/>
          <w:sz w:val="32"/>
          <w:szCs w:val="32"/>
        </w:rPr>
        <w:t>等。</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2. </w:t>
      </w:r>
      <w:r>
        <w:rPr>
          <w:rFonts w:hint="default" w:ascii="仿宋_GB2312" w:hAnsi="sans-serif" w:eastAsia="仿宋_GB2312" w:cs="仿宋_GB2312"/>
          <w:i w:val="0"/>
          <w:caps w:val="0"/>
          <w:color w:val="000000"/>
          <w:spacing w:val="0"/>
          <w:sz w:val="32"/>
          <w:szCs w:val="32"/>
        </w:rPr>
        <w:t>一般公共服务（类）</w:t>
      </w:r>
      <w:r>
        <w:rPr>
          <w:rFonts w:hint="eastAsia" w:ascii="仿宋_GB2312" w:hAnsi="sans-serif" w:eastAsia="仿宋_GB2312" w:cs="仿宋_GB2312"/>
          <w:i w:val="0"/>
          <w:caps w:val="0"/>
          <w:color w:val="000000"/>
          <w:spacing w:val="0"/>
          <w:sz w:val="32"/>
          <w:szCs w:val="32"/>
          <w:lang w:eastAsia="zh-CN"/>
        </w:rPr>
        <w:t>统计信息事务</w:t>
      </w:r>
      <w:r>
        <w:rPr>
          <w:rFonts w:hint="default" w:ascii="仿宋_GB2312" w:hAnsi="sans-serif" w:eastAsia="仿宋_GB2312" w:cs="仿宋_GB2312"/>
          <w:i w:val="0"/>
          <w:caps w:val="0"/>
          <w:color w:val="000000"/>
          <w:spacing w:val="0"/>
          <w:sz w:val="32"/>
          <w:szCs w:val="32"/>
        </w:rPr>
        <w:t>（款）一般行政管理事务（项）</w:t>
      </w: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年预算数为</w:t>
      </w:r>
      <w:r>
        <w:rPr>
          <w:rFonts w:hint="eastAsia" w:ascii="仿宋_GB2312" w:hAnsi="sans-serif" w:eastAsia="仿宋_GB2312" w:cs="仿宋_GB2312"/>
          <w:i w:val="0"/>
          <w:caps w:val="0"/>
          <w:color w:val="000000"/>
          <w:spacing w:val="0"/>
          <w:sz w:val="32"/>
          <w:szCs w:val="32"/>
          <w:lang w:val="en-US" w:eastAsia="zh-CN"/>
        </w:rPr>
        <w:t>16.9</w:t>
      </w:r>
      <w:r>
        <w:rPr>
          <w:rFonts w:hint="default" w:ascii="仿宋_GB2312" w:hAnsi="sans-serif" w:eastAsia="仿宋_GB2312" w:cs="仿宋_GB2312"/>
          <w:i w:val="0"/>
          <w:caps w:val="0"/>
          <w:color w:val="000000"/>
          <w:spacing w:val="0"/>
          <w:sz w:val="32"/>
          <w:szCs w:val="32"/>
        </w:rPr>
        <w:t>万元，主要用于：代理记账劳务费</w:t>
      </w:r>
      <w:r>
        <w:rPr>
          <w:rFonts w:hint="eastAsia" w:ascii="仿宋_GB2312" w:hAnsi="sans-serif" w:eastAsia="仿宋_GB2312" w:cs="仿宋_GB2312"/>
          <w:i w:val="0"/>
          <w:caps w:val="0"/>
          <w:color w:val="000000"/>
          <w:spacing w:val="0"/>
          <w:sz w:val="32"/>
          <w:szCs w:val="32"/>
          <w:lang w:eastAsia="zh-CN"/>
        </w:rPr>
        <w:t>、</w:t>
      </w:r>
      <w:r>
        <w:rPr>
          <w:rFonts w:hint="eastAsia" w:ascii="仿宋_GB2312" w:hAnsi="sans-serif" w:eastAsia="仿宋_GB2312" w:cs="仿宋_GB2312"/>
          <w:i w:val="0"/>
          <w:caps w:val="0"/>
          <w:color w:val="000000"/>
          <w:spacing w:val="0"/>
          <w:sz w:val="32"/>
          <w:szCs w:val="32"/>
          <w:lang w:val="en-US" w:eastAsia="zh-CN"/>
        </w:rPr>
        <w:t>体检费、</w:t>
      </w:r>
      <w:r>
        <w:rPr>
          <w:rFonts w:hint="eastAsia" w:ascii="仿宋_GB2312" w:hAnsi="sans-serif" w:eastAsia="仿宋_GB2312" w:cs="仿宋_GB2312"/>
          <w:i w:val="0"/>
          <w:caps w:val="0"/>
          <w:color w:val="000000"/>
          <w:spacing w:val="0"/>
          <w:sz w:val="32"/>
          <w:szCs w:val="32"/>
          <w:lang w:eastAsia="zh-CN"/>
        </w:rPr>
        <w:t>商务接待、国家外贸转型升级基地考核工作经费等</w:t>
      </w:r>
      <w:r>
        <w:rPr>
          <w:rFonts w:hint="default" w:ascii="仿宋_GB2312" w:hAnsi="sans-serif" w:eastAsia="仿宋_GB2312" w:cs="仿宋_GB2312"/>
          <w:i w:val="0"/>
          <w:caps w:val="0"/>
          <w:color w:val="000000"/>
          <w:spacing w:val="0"/>
          <w:sz w:val="32"/>
          <w:szCs w:val="32"/>
        </w:rPr>
        <w:t>。</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六、一般公共预算基本支出情况说明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年一般公共预算基本支出</w:t>
      </w:r>
      <w:r>
        <w:rPr>
          <w:rFonts w:hint="eastAsia" w:ascii="仿宋_GB2312" w:hAnsi="sans-serif" w:eastAsia="仿宋_GB2312" w:cs="仿宋_GB2312"/>
          <w:i w:val="0"/>
          <w:caps w:val="0"/>
          <w:color w:val="000000"/>
          <w:spacing w:val="0"/>
          <w:sz w:val="32"/>
          <w:szCs w:val="32"/>
          <w:lang w:val="en-US" w:eastAsia="zh-CN"/>
        </w:rPr>
        <w:t>30.27</w:t>
      </w:r>
      <w:r>
        <w:rPr>
          <w:rFonts w:hint="default" w:ascii="仿宋_GB2312" w:hAnsi="sans-serif" w:eastAsia="仿宋_GB2312" w:cs="仿宋_GB2312"/>
          <w:i w:val="0"/>
          <w:caps w:val="0"/>
          <w:color w:val="000000"/>
          <w:spacing w:val="0"/>
          <w:sz w:val="32"/>
          <w:szCs w:val="32"/>
        </w:rPr>
        <w:t>万元，其中：</w:t>
      </w:r>
    </w:p>
    <w:p>
      <w:pPr>
        <w:pStyle w:val="5"/>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rPr>
      </w:pPr>
      <w:r>
        <w:rPr>
          <w:rFonts w:hint="default" w:ascii="仿宋_GB2312" w:hAnsi="sans-serif" w:eastAsia="仿宋_GB2312" w:cs="仿宋_GB2312"/>
          <w:i w:val="0"/>
          <w:caps w:val="0"/>
          <w:color w:val="000000"/>
          <w:spacing w:val="0"/>
          <w:sz w:val="32"/>
          <w:szCs w:val="32"/>
        </w:rPr>
        <w:t>人员经费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万元，主要包括：基本工资、津贴补贴、社会保险缴费、绩效工资、机关事业单位基本养老保险缴费、住房公积金。</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FF0000"/>
          <w:spacing w:val="0"/>
          <w:sz w:val="24"/>
          <w:szCs w:val="24"/>
        </w:rPr>
      </w:pPr>
      <w:r>
        <w:rPr>
          <w:rFonts w:hint="default" w:ascii="仿宋_GB2312" w:hAnsi="sans-serif" w:eastAsia="仿宋_GB2312" w:cs="仿宋_GB2312"/>
          <w:i w:val="0"/>
          <w:caps w:val="0"/>
          <w:color w:val="000000" w:themeColor="text1"/>
          <w:spacing w:val="0"/>
          <w:sz w:val="32"/>
          <w:szCs w:val="32"/>
          <w14:textFill>
            <w14:solidFill>
              <w14:schemeClr w14:val="tx1"/>
            </w14:solidFill>
          </w14:textFill>
        </w:rPr>
        <w:t>公用经费</w:t>
      </w:r>
      <w:r>
        <w:rPr>
          <w:rFonts w:hint="eastAsia" w:ascii="仿宋_GB2312" w:hAnsi="sans-serif" w:eastAsia="仿宋_GB2312" w:cs="仿宋_GB2312"/>
          <w:i w:val="0"/>
          <w:caps w:val="0"/>
          <w:color w:val="000000"/>
          <w:spacing w:val="0"/>
          <w:sz w:val="32"/>
          <w:szCs w:val="32"/>
          <w:lang w:val="en-US" w:eastAsia="zh-CN"/>
        </w:rPr>
        <w:t>13.37</w:t>
      </w:r>
      <w:r>
        <w:rPr>
          <w:rFonts w:hint="default" w:ascii="仿宋_GB2312" w:hAnsi="sans-serif" w:eastAsia="仿宋_GB2312" w:cs="仿宋_GB2312"/>
          <w:i w:val="0"/>
          <w:caps w:val="0"/>
          <w:color w:val="000000" w:themeColor="text1"/>
          <w:spacing w:val="0"/>
          <w:sz w:val="32"/>
          <w:szCs w:val="32"/>
          <w14:textFill>
            <w14:solidFill>
              <w14:schemeClr w14:val="tx1"/>
            </w14:solidFill>
          </w14:textFill>
        </w:rPr>
        <w:t>万元，主要包括：</w:t>
      </w:r>
      <w:r>
        <w:rPr>
          <w:rFonts w:hint="eastAsia" w:ascii="仿宋_GB2312" w:hAnsi="sans-serif" w:eastAsia="仿宋_GB2312" w:cs="仿宋_GB2312"/>
          <w:i w:val="0"/>
          <w:caps w:val="0"/>
          <w:color w:val="000000" w:themeColor="text1"/>
          <w:spacing w:val="0"/>
          <w:sz w:val="32"/>
          <w:szCs w:val="32"/>
          <w14:textFill>
            <w14:solidFill>
              <w14:schemeClr w14:val="tx1"/>
            </w14:solidFill>
          </w14:textFill>
        </w:rPr>
        <w:t>办公费、印刷费、邮电费、差旅费、维修（护）费、公务接待费、劳务费、其他商品和服务支出</w:t>
      </w:r>
      <w:r>
        <w:rPr>
          <w:rFonts w:hint="eastAsia" w:ascii="仿宋_GB2312" w:hAnsi="sans-serif" w:eastAsia="仿宋_GB2312" w:cs="仿宋_GB2312"/>
          <w:i w:val="0"/>
          <w:caps w:val="0"/>
          <w:color w:val="000000" w:themeColor="text1"/>
          <w:spacing w:val="0"/>
          <w:sz w:val="32"/>
          <w:szCs w:val="32"/>
          <w:lang w:eastAsia="zh-CN"/>
          <w14:textFill>
            <w14:solidFill>
              <w14:schemeClr w14:val="tx1"/>
            </w14:solidFill>
          </w14:textFill>
        </w:rPr>
        <w:t>、</w:t>
      </w:r>
      <w:r>
        <w:rPr>
          <w:rFonts w:hint="eastAsia" w:ascii="仿宋_GB2312" w:hAnsi="sans-serif" w:eastAsia="仿宋_GB2312" w:cs="仿宋_GB2312"/>
          <w:i w:val="0"/>
          <w:caps w:val="0"/>
          <w:color w:val="000000" w:themeColor="text1"/>
          <w:spacing w:val="0"/>
          <w:sz w:val="32"/>
          <w:szCs w:val="32"/>
          <w:lang w:val="en-US" w:eastAsia="zh-CN"/>
          <w14:textFill>
            <w14:solidFill>
              <w14:schemeClr w14:val="tx1"/>
            </w14:solidFill>
          </w14:textFill>
        </w:rPr>
        <w:t>餐补</w:t>
      </w:r>
      <w:r>
        <w:rPr>
          <w:rFonts w:hint="default" w:ascii="仿宋_GB2312" w:hAnsi="sans-serif" w:eastAsia="仿宋_GB2312" w:cs="仿宋_GB2312"/>
          <w:i w:val="0"/>
          <w:caps w:val="0"/>
          <w:color w:val="000000" w:themeColor="text1"/>
          <w:spacing w:val="0"/>
          <w:sz w:val="32"/>
          <w:szCs w:val="32"/>
          <w14:textFill>
            <w14:solidFill>
              <w14:schemeClr w14:val="tx1"/>
            </w14:solidFill>
          </w14:textFill>
        </w:rPr>
        <w:t>。</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七、“三公”经费财政拨款预算安排情况说明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年“三公”经费财政拨款预算数</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万元，其中：因公出国（境）经费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万元，公务接待费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万元，公务用车购置及运行维护费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val="en-US" w:eastAsia="zh-CN"/>
        </w:rPr>
        <w:t>万</w:t>
      </w:r>
      <w:r>
        <w:rPr>
          <w:rFonts w:hint="default" w:ascii="仿宋_GB2312" w:hAnsi="sans-serif" w:eastAsia="仿宋_GB2312" w:cs="仿宋_GB2312"/>
          <w:i w:val="0"/>
          <w:caps w:val="0"/>
          <w:color w:val="000000"/>
          <w:spacing w:val="0"/>
          <w:sz w:val="32"/>
          <w:szCs w:val="32"/>
        </w:rPr>
        <w:t>元。</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（一）因公出国（境）经费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sans-serif" w:eastAsia="楷体_GB2312" w:cs="楷体_GB2312"/>
          <w:i w:val="0"/>
          <w:caps w:val="0"/>
          <w:color w:val="000000"/>
          <w:spacing w:val="0"/>
          <w:sz w:val="32"/>
          <w:szCs w:val="32"/>
        </w:rPr>
        <w:t>上年预算持平。</w:t>
      </w:r>
      <w:r>
        <w:rPr>
          <w:rFonts w:hint="default" w:ascii="仿宋_GB2312" w:hAnsi="sans-serif" w:eastAsia="仿宋_GB2312" w:cs="仿宋_GB2312"/>
          <w:i w:val="0"/>
          <w:caps w:val="0"/>
          <w:color w:val="000000"/>
          <w:spacing w:val="0"/>
          <w:sz w:val="32"/>
          <w:szCs w:val="32"/>
        </w:rPr>
        <w:t>主要原因是</w:t>
      </w:r>
      <w:r>
        <w:rPr>
          <w:rStyle w:val="13"/>
          <w:rFonts w:hint="eastAsia" w:ascii="仿宋_GB2312" w:hAnsi="仿宋_GB2312" w:eastAsia="仿宋_GB2312" w:cs="Times New Roman"/>
          <w:sz w:val="32"/>
          <w:highlight w:val="none"/>
        </w:rPr>
        <w:t>未安排因公出国（境）</w:t>
      </w:r>
      <w:r>
        <w:rPr>
          <w:rFonts w:hint="default" w:ascii="仿宋_GB2312" w:hAnsi="sans-serif" w:eastAsia="仿宋_GB2312" w:cs="仿宋_GB2312"/>
          <w:i w:val="0"/>
          <w:caps w:val="0"/>
          <w:color w:val="000000"/>
          <w:spacing w:val="0"/>
          <w:sz w:val="32"/>
          <w:szCs w:val="32"/>
        </w:rPr>
        <w:t>。</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（二）公务接待费与上年预算持平。</w:t>
      </w:r>
      <w:r>
        <w:rPr>
          <w:rFonts w:hint="default" w:ascii="仿宋_GB2312" w:hAnsi="sans-serif" w:eastAsia="仿宋_GB2312" w:cs="仿宋_GB2312"/>
          <w:i w:val="0"/>
          <w:caps w:val="0"/>
          <w:color w:val="000000"/>
          <w:spacing w:val="0"/>
          <w:sz w:val="32"/>
          <w:szCs w:val="32"/>
        </w:rPr>
        <w:t>主要原因是</w:t>
      </w:r>
      <w:r>
        <w:rPr>
          <w:rStyle w:val="13"/>
          <w:rFonts w:hint="eastAsia" w:ascii="仿宋_GB2312" w:hAnsi="仿宋_GB2312" w:eastAsia="仿宋_GB2312"/>
          <w:sz w:val="32"/>
          <w:highlight w:val="none"/>
          <w:lang w:eastAsia="zh-CN"/>
        </w:rPr>
        <w:t>接待标准未变</w:t>
      </w:r>
      <w:r>
        <w:rPr>
          <w:rFonts w:hint="default" w:ascii="仿宋_GB2312" w:hAnsi="sans-serif" w:eastAsia="仿宋_GB2312" w:cs="仿宋_GB2312"/>
          <w:i w:val="0"/>
          <w:caps w:val="0"/>
          <w:color w:val="000000"/>
          <w:spacing w:val="0"/>
          <w:sz w:val="32"/>
          <w:szCs w:val="32"/>
        </w:rPr>
        <w:t>。</w:t>
      </w:r>
    </w:p>
    <w:p>
      <w:pPr>
        <w:spacing w:line="600" w:lineRule="exact"/>
        <w:ind w:firstLine="640" w:firstLineChars="200"/>
        <w:rPr>
          <w:rStyle w:val="13"/>
          <w:rFonts w:hint="eastAsia" w:ascii="仿宋_GB2312" w:hAnsi="仿宋_GB2312" w:eastAsia="仿宋_GB2312" w:cs="Times New Roman"/>
          <w:sz w:val="32"/>
          <w:highlight w:val="none"/>
        </w:rPr>
      </w:pP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年公务接待费计划用于</w:t>
      </w:r>
      <w:r>
        <w:rPr>
          <w:rStyle w:val="13"/>
          <w:rFonts w:hint="eastAsia" w:ascii="仿宋_GB2312" w:hAnsi="仿宋_GB2312" w:eastAsia="仿宋_GB2312" w:cs="Times New Roman"/>
          <w:sz w:val="32"/>
          <w:highlight w:val="none"/>
        </w:rPr>
        <w:t>公务活动开支的交通费、住宿费、用餐费等。</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楷体_GB2312" w:hAnsi="sans-serif" w:eastAsia="楷体_GB2312" w:cs="楷体_GB2312"/>
          <w:i w:val="0"/>
          <w:caps w:val="0"/>
          <w:color w:val="000000"/>
          <w:spacing w:val="0"/>
          <w:sz w:val="32"/>
          <w:szCs w:val="32"/>
        </w:rPr>
        <w:t>（三）公务用车购置及运行维护费</w:t>
      </w:r>
      <w:r>
        <w:rPr>
          <w:rFonts w:hint="eastAsia" w:ascii="楷体_GB2312" w:hAnsi="sans-serif" w:eastAsia="楷体_GB2312" w:cs="楷体_GB2312"/>
          <w:i w:val="0"/>
          <w:caps w:val="0"/>
          <w:color w:val="000000"/>
          <w:spacing w:val="0"/>
          <w:sz w:val="32"/>
          <w:szCs w:val="32"/>
          <w:lang w:eastAsia="zh-CN"/>
        </w:rPr>
        <w:t>与</w:t>
      </w:r>
      <w:r>
        <w:rPr>
          <w:rFonts w:hint="default" w:ascii="楷体_GB2312" w:hAnsi="楷体_GB2312" w:eastAsia="楷体_GB2312" w:cs="楷体_GB2312"/>
          <w:i w:val="0"/>
          <w:caps w:val="0"/>
          <w:color w:val="000000"/>
          <w:spacing w:val="0"/>
          <w:sz w:val="32"/>
          <w:szCs w:val="32"/>
        </w:rPr>
        <w:t>上年</w:t>
      </w:r>
      <w:r>
        <w:rPr>
          <w:rFonts w:hint="default" w:ascii="楷体_GB2312" w:hAnsi="sans-serif" w:eastAsia="楷体_GB2312" w:cs="楷体_GB2312"/>
          <w:i w:val="0"/>
          <w:caps w:val="0"/>
          <w:color w:val="000000"/>
          <w:spacing w:val="0"/>
          <w:sz w:val="32"/>
          <w:szCs w:val="32"/>
        </w:rPr>
        <w:t>预算持平。</w:t>
      </w:r>
      <w:r>
        <w:rPr>
          <w:rStyle w:val="13"/>
          <w:rFonts w:ascii="仿宋_GB2312" w:hAnsi="仿宋_GB2312" w:eastAsia="仿宋_GB2312"/>
          <w:sz w:val="32"/>
          <w:highlight w:val="none"/>
        </w:rPr>
        <w:t>主要原因是</w:t>
      </w:r>
      <w:r>
        <w:rPr>
          <w:rStyle w:val="13"/>
          <w:rFonts w:hint="eastAsia" w:ascii="仿宋_GB2312" w:hAnsi="仿宋_GB2312" w:eastAsia="仿宋_GB2312"/>
          <w:sz w:val="32"/>
          <w:highlight w:val="none"/>
          <w:lang w:eastAsia="zh-CN"/>
        </w:rPr>
        <w:t>现无公务用车</w:t>
      </w:r>
      <w:r>
        <w:rPr>
          <w:rStyle w:val="13"/>
          <w:rFonts w:ascii="仿宋_GB2312" w:hAnsi="仿宋_GB2312" w:eastAsia="仿宋_GB2312"/>
          <w:sz w:val="32"/>
          <w:highlight w:val="none"/>
        </w:rPr>
        <w:t>。</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部门现有公务用车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辆，其中：轿车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辆，越野车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辆，大型客、货车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辆。</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kern w:val="2"/>
          <w:sz w:val="32"/>
          <w:szCs w:val="32"/>
          <w:lang w:val="en-US" w:eastAsia="zh-CN" w:bidi="ar-SA"/>
        </w:rPr>
        <w:t>2024</w:t>
      </w:r>
      <w:r>
        <w:rPr>
          <w:rFonts w:hint="default" w:ascii="仿宋_GB2312" w:hAnsi="sans-serif" w:eastAsia="仿宋_GB2312" w:cs="仿宋_GB2312"/>
          <w:i w:val="0"/>
          <w:caps w:val="0"/>
          <w:color w:val="000000"/>
          <w:spacing w:val="0"/>
          <w:sz w:val="32"/>
          <w:szCs w:val="32"/>
        </w:rPr>
        <w:t>年安排公务用车购置费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年安排公务用车运行维护费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八、“会议费”、“培训费”、“差旅费”财政拨款预算安排情况说明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年“会议费”“培训费”“差旅费”财政拨款预算数</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万元，其中：会议费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万元，培训费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万元，差旅费</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万元。</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九、政府性基金预算支出情况说明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年没有使用政府性基金预算拨款安排的支出。</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十、国有资本经营预算支出情况说明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年没有使用国有资本经营预算拨款安排的支出。</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十一、其他重要事项的情况说明</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（一）机关运行经费</w:t>
      </w:r>
    </w:p>
    <w:p>
      <w:pPr>
        <w:pStyle w:val="5"/>
        <w:keepNext w:val="0"/>
        <w:keepLines w:val="0"/>
        <w:widowControl/>
        <w:suppressLineNumbers w:val="0"/>
        <w:spacing w:before="75" w:beforeAutospacing="0" w:after="75" w:afterAutospacing="0" w:line="600" w:lineRule="atLeast"/>
        <w:ind w:left="0" w:right="0" w:firstLine="630"/>
        <w:rPr>
          <w:rFonts w:hint="default" w:ascii="仿宋_GB2312" w:hAnsi="sans-serif" w:eastAsia="仿宋_GB2312" w:cs="仿宋_GB2312"/>
          <w:i w:val="0"/>
          <w:caps w:val="0"/>
          <w:color w:val="000000"/>
          <w:spacing w:val="0"/>
          <w:sz w:val="32"/>
          <w:szCs w:val="32"/>
          <w:lang w:eastAsia="zh-CN"/>
        </w:rPr>
      </w:pP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w:t>
      </w: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w:t>
      </w:r>
      <w:r>
        <w:rPr>
          <w:rFonts w:hint="default" w:ascii="仿宋_GB2312" w:hAnsi="sans-serif" w:eastAsia="仿宋_GB2312" w:cs="仿宋_GB2312"/>
          <w:i w:val="0"/>
          <w:caps w:val="0"/>
          <w:color w:val="000000"/>
          <w:spacing w:val="0"/>
          <w:sz w:val="32"/>
          <w:szCs w:val="32"/>
        </w:rPr>
        <w:t>的机关运行经费财政拨款预算为</w:t>
      </w:r>
      <w:r>
        <w:rPr>
          <w:rFonts w:hint="eastAsia" w:ascii="仿宋_GB2312" w:hAnsi="sans-serif" w:eastAsia="仿宋_GB2312" w:cs="仿宋_GB2312"/>
          <w:i w:val="0"/>
          <w:caps w:val="0"/>
          <w:color w:val="000000"/>
          <w:spacing w:val="0"/>
          <w:sz w:val="32"/>
          <w:szCs w:val="32"/>
          <w:lang w:val="en-US" w:eastAsia="zh-CN"/>
        </w:rPr>
        <w:t>13.37</w:t>
      </w:r>
      <w:r>
        <w:rPr>
          <w:rFonts w:hint="default" w:ascii="仿宋_GB2312" w:hAnsi="sans-serif" w:eastAsia="仿宋_GB2312" w:cs="仿宋_GB2312"/>
          <w:i w:val="0"/>
          <w:caps w:val="0"/>
          <w:color w:val="000000"/>
          <w:spacing w:val="0"/>
          <w:sz w:val="32"/>
          <w:szCs w:val="32"/>
        </w:rPr>
        <w:t>万元，较上年</w:t>
      </w:r>
      <w:r>
        <w:rPr>
          <w:rFonts w:hint="default" w:ascii="仿宋_GB2312" w:hAnsi="sans-serif" w:eastAsia="仿宋_GB2312" w:cs="仿宋_GB2312"/>
          <w:i w:val="0"/>
          <w:caps w:val="0"/>
          <w:color w:val="000000"/>
          <w:spacing w:val="0"/>
          <w:sz w:val="32"/>
          <w:szCs w:val="32"/>
          <w:lang w:eastAsia="zh-CN"/>
        </w:rPr>
        <w:t>预算</w:t>
      </w:r>
      <w:r>
        <w:rPr>
          <w:rFonts w:hint="eastAsia" w:ascii="仿宋_GB2312" w:hAnsi="sans-serif" w:eastAsia="仿宋_GB2312" w:cs="仿宋_GB2312"/>
          <w:i w:val="0"/>
          <w:caps w:val="0"/>
          <w:color w:val="000000"/>
          <w:spacing w:val="0"/>
          <w:sz w:val="32"/>
          <w:szCs w:val="32"/>
          <w:lang w:val="en-US" w:eastAsia="zh-CN"/>
        </w:rPr>
        <w:t>减少0.15</w:t>
      </w:r>
      <w:r>
        <w:rPr>
          <w:rFonts w:hint="default" w:ascii="仿宋_GB2312" w:hAnsi="sans-serif" w:eastAsia="仿宋_GB2312" w:cs="仿宋_GB2312"/>
          <w:i w:val="0"/>
          <w:caps w:val="0"/>
          <w:color w:val="000000"/>
          <w:spacing w:val="0"/>
          <w:sz w:val="32"/>
          <w:szCs w:val="32"/>
          <w:lang w:eastAsia="zh-CN"/>
        </w:rPr>
        <w:t>万元，</w:t>
      </w:r>
      <w:r>
        <w:rPr>
          <w:rFonts w:hint="eastAsia" w:ascii="仿宋_GB2312" w:hAnsi="sans-serif" w:eastAsia="仿宋_GB2312" w:cs="仿宋_GB2312"/>
          <w:i w:val="0"/>
          <w:caps w:val="0"/>
          <w:color w:val="000000"/>
          <w:spacing w:val="0"/>
          <w:sz w:val="32"/>
          <w:szCs w:val="32"/>
          <w:lang w:val="en-US" w:eastAsia="zh-CN"/>
        </w:rPr>
        <w:t>下降1</w:t>
      </w:r>
      <w:r>
        <w:rPr>
          <w:rFonts w:hint="default" w:ascii="仿宋_GB2312" w:hAnsi="sans-serif" w:eastAsia="仿宋_GB2312" w:cs="仿宋_GB2312"/>
          <w:i w:val="0"/>
          <w:caps w:val="0"/>
          <w:color w:val="000000"/>
          <w:spacing w:val="0"/>
          <w:sz w:val="32"/>
          <w:szCs w:val="32"/>
          <w:lang w:eastAsia="zh-CN"/>
        </w:rPr>
        <w:t>%。</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（二）政府采购情况</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000000"/>
          <w:spacing w:val="0"/>
          <w:sz w:val="32"/>
          <w:szCs w:val="32"/>
          <w:lang w:eastAsia="zh-CN"/>
        </w:rPr>
        <w:t>经开区</w:t>
      </w:r>
      <w:r>
        <w:rPr>
          <w:rFonts w:hint="eastAsia" w:ascii="仿宋_GB2312" w:hAnsi="sans-serif" w:eastAsia="仿宋_GB2312" w:cs="仿宋_GB2312"/>
          <w:i w:val="0"/>
          <w:caps w:val="0"/>
          <w:color w:val="000000"/>
          <w:spacing w:val="0"/>
          <w:sz w:val="32"/>
          <w:szCs w:val="32"/>
          <w:lang w:val="en-US" w:eastAsia="zh-CN"/>
        </w:rPr>
        <w:t>商务文旅中心2024</w:t>
      </w:r>
      <w:r>
        <w:rPr>
          <w:rFonts w:hint="default" w:ascii="仿宋_GB2312" w:hAnsi="sans-serif" w:eastAsia="仿宋_GB2312" w:cs="仿宋_GB2312"/>
          <w:i w:val="0"/>
          <w:caps w:val="0"/>
          <w:color w:val="000000"/>
          <w:spacing w:val="0"/>
          <w:sz w:val="32"/>
          <w:szCs w:val="32"/>
        </w:rPr>
        <w:t>年未安排政府采购预算。</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（三）国有资产占有使用情况</w:t>
      </w:r>
    </w:p>
    <w:p>
      <w:pPr>
        <w:pStyle w:val="5"/>
        <w:keepNext w:val="0"/>
        <w:keepLines w:val="0"/>
        <w:widowControl/>
        <w:suppressLineNumbers w:val="0"/>
        <w:spacing w:before="75" w:beforeAutospacing="0" w:after="75" w:afterAutospacing="0" w:line="600"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截至上年底，</w:t>
      </w:r>
      <w:r>
        <w:rPr>
          <w:rFonts w:hint="eastAsia" w:ascii="仿宋_GB2312" w:hAnsi="sans-serif" w:eastAsia="仿宋_GB2312" w:cs="仿宋_GB2312"/>
          <w:i w:val="0"/>
          <w:caps w:val="0"/>
          <w:color w:val="000000"/>
          <w:spacing w:val="0"/>
          <w:sz w:val="32"/>
          <w:szCs w:val="32"/>
          <w:lang w:eastAsia="zh-CN"/>
        </w:rPr>
        <w:t>经开区经信商科局</w:t>
      </w:r>
      <w:r>
        <w:rPr>
          <w:rFonts w:hint="default" w:ascii="仿宋_GB2312" w:hAnsi="sans-serif" w:eastAsia="仿宋_GB2312" w:cs="仿宋_GB2312"/>
          <w:i w:val="0"/>
          <w:caps w:val="0"/>
          <w:color w:val="000000"/>
          <w:spacing w:val="0"/>
          <w:sz w:val="32"/>
          <w:szCs w:val="32"/>
        </w:rPr>
        <w:t>所属各预算单位共有车辆</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辆，其中，地厅级领导干部用车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辆、定向保障用车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辆、执法执勤用车</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lang w:eastAsia="zh-CN"/>
        </w:rPr>
        <w:t>辆。单位价值200万元以上大型设备</w:t>
      </w:r>
      <w:r>
        <w:rPr>
          <w:rFonts w:hint="eastAsia" w:ascii="仿宋_GB2312" w:hAnsi="sans-serif" w:eastAsia="仿宋_GB2312" w:cs="仿宋_GB2312"/>
          <w:i w:val="0"/>
          <w:caps w:val="0"/>
          <w:color w:val="000000"/>
          <w:spacing w:val="0"/>
          <w:sz w:val="32"/>
          <w:szCs w:val="32"/>
          <w:lang w:val="en-US" w:eastAsia="zh-CN"/>
        </w:rPr>
        <w:t>0</w:t>
      </w:r>
      <w:r>
        <w:rPr>
          <w:rFonts w:hint="default" w:ascii="仿宋_GB2312" w:hAnsi="sans-serif" w:eastAsia="仿宋_GB2312" w:cs="仿宋_GB2312"/>
          <w:i w:val="0"/>
          <w:caps w:val="0"/>
          <w:color w:val="000000"/>
          <w:spacing w:val="0"/>
          <w:sz w:val="32"/>
          <w:szCs w:val="32"/>
        </w:rPr>
        <w:t>台（套）。</w:t>
      </w:r>
    </w:p>
    <w:p>
      <w:pPr>
        <w:pStyle w:val="5"/>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年本部门预算未安排购置车辆及单位价值200万元以上大型设备。</w:t>
      </w:r>
    </w:p>
    <w:p>
      <w:pPr>
        <w:pStyle w:val="5"/>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Style w:val="8"/>
          <w:rFonts w:hint="default" w:ascii="楷体_GB2312" w:hAnsi="sans-serif" w:eastAsia="楷体_GB2312" w:cs="楷体_GB2312"/>
          <w:i w:val="0"/>
          <w:caps w:val="0"/>
          <w:color w:val="000000"/>
          <w:spacing w:val="0"/>
          <w:sz w:val="32"/>
          <w:szCs w:val="32"/>
        </w:rPr>
        <w:t>（四）绩效目标设置情况</w:t>
      </w:r>
    </w:p>
    <w:p>
      <w:pPr>
        <w:pStyle w:val="5"/>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rPr>
        <w:t>绩效目标是预算编制的前提和基础，按照“费随事定”的原则，</w:t>
      </w:r>
      <w:r>
        <w:rPr>
          <w:rFonts w:hint="eastAsia" w:ascii="仿宋_GB2312" w:hAnsi="sans-serif" w:eastAsia="仿宋_GB2312" w:cs="仿宋_GB2312"/>
          <w:i w:val="0"/>
          <w:caps w:val="0"/>
          <w:color w:val="000000"/>
          <w:spacing w:val="0"/>
          <w:sz w:val="32"/>
          <w:szCs w:val="32"/>
          <w:lang w:val="en-US" w:eastAsia="zh-CN"/>
        </w:rPr>
        <w:t>2024</w:t>
      </w:r>
      <w:r>
        <w:rPr>
          <w:rFonts w:hint="default" w:ascii="仿宋_GB2312" w:hAnsi="sans-serif" w:eastAsia="仿宋_GB2312" w:cs="仿宋_GB2312"/>
          <w:i w:val="0"/>
          <w:caps w:val="0"/>
          <w:color w:val="000000"/>
          <w:spacing w:val="0"/>
          <w:sz w:val="32"/>
          <w:szCs w:val="32"/>
        </w:rPr>
        <w:t>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5"/>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黑体" w:hAnsi="宋体" w:eastAsia="黑体" w:cs="黑体"/>
          <w:i w:val="0"/>
          <w:caps w:val="0"/>
          <w:color w:val="000000"/>
          <w:spacing w:val="0"/>
          <w:sz w:val="32"/>
          <w:szCs w:val="32"/>
        </w:rPr>
        <w:t>十二、名词解释</w:t>
      </w:r>
    </w:p>
    <w:p>
      <w:pPr>
        <w:pStyle w:val="5"/>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1.</w:t>
      </w:r>
      <w:r>
        <w:rPr>
          <w:rFonts w:hint="default" w:ascii="仿宋_GB2312" w:hAnsi="sans-serif" w:eastAsia="仿宋_GB2312" w:cs="仿宋_GB2312"/>
          <w:i w:val="0"/>
          <w:caps w:val="0"/>
          <w:color w:val="000000"/>
          <w:spacing w:val="0"/>
          <w:sz w:val="32"/>
          <w:szCs w:val="32"/>
        </w:rPr>
        <w:t>一般公共预算拨款收入：指市本级财政当年拨付的资金。</w:t>
      </w:r>
    </w:p>
    <w:p>
      <w:pPr>
        <w:pStyle w:val="5"/>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2.</w:t>
      </w:r>
      <w:r>
        <w:rPr>
          <w:rFonts w:hint="default" w:ascii="仿宋_GB2312" w:hAnsi="sans-serif" w:eastAsia="仿宋_GB2312" w:cs="仿宋_GB2312"/>
          <w:i w:val="0"/>
          <w:caps w:val="0"/>
          <w:color w:val="000000"/>
          <w:spacing w:val="0"/>
          <w:sz w:val="32"/>
          <w:szCs w:val="32"/>
        </w:rPr>
        <w:t>基本支出：指为保证机构正常运转，完成日常工作任务而发生的人员支出和公用支出。</w:t>
      </w:r>
    </w:p>
    <w:p>
      <w:pPr>
        <w:pStyle w:val="5"/>
        <w:keepNext w:val="0"/>
        <w:keepLines w:val="0"/>
        <w:widowControl/>
        <w:suppressLineNumbers w:val="0"/>
        <w:spacing w:before="75" w:beforeAutospacing="0" w:after="75" w:afterAutospacing="0" w:line="555" w:lineRule="atLeast"/>
        <w:ind w:left="0" w:right="0" w:firstLine="630"/>
        <w:rPr>
          <w:rFonts w:hint="default" w:ascii="sans-serif" w:hAnsi="sans-serif" w:eastAsia="sans-serif" w:cs="sans-serif"/>
          <w:i w:val="0"/>
          <w:caps w:val="0"/>
          <w:color w:val="000000"/>
          <w:spacing w:val="0"/>
          <w:sz w:val="24"/>
          <w:szCs w:val="24"/>
        </w:rPr>
      </w:pPr>
      <w:r>
        <w:rPr>
          <w:rFonts w:hint="default" w:ascii="仿宋_GB2312" w:hAnsi="sans-serif" w:eastAsia="仿宋_GB2312" w:cs="仿宋_GB2312"/>
          <w:i w:val="0"/>
          <w:caps w:val="0"/>
          <w:color w:val="000000"/>
          <w:spacing w:val="0"/>
          <w:sz w:val="32"/>
          <w:szCs w:val="32"/>
          <w:lang w:val="en-US" w:eastAsia="zh-CN"/>
        </w:rPr>
        <w:t>3.</w:t>
      </w:r>
      <w:r>
        <w:rPr>
          <w:rFonts w:hint="default" w:ascii="仿宋_GB2312" w:hAnsi="sans-serif" w:eastAsia="仿宋_GB2312" w:cs="仿宋_GB2312"/>
          <w:i w:val="0"/>
          <w:caps w:val="0"/>
          <w:color w:val="000000"/>
          <w:spacing w:val="0"/>
          <w:sz w:val="32"/>
          <w:szCs w:val="32"/>
        </w:rPr>
        <w:t>项目支出：指在基本支出之外为完成特定行政任务和事业发展目标所发生的支出。</w:t>
      </w:r>
    </w:p>
    <w:p>
      <w:pPr>
        <w:pStyle w:val="5"/>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r>
        <w:rPr>
          <w:rFonts w:hint="eastAsia" w:ascii="仿宋_GB2312" w:hAnsi="sans-serif" w:eastAsia="仿宋_GB2312" w:cs="仿宋_GB2312"/>
          <w:i w:val="0"/>
          <w:caps w:val="0"/>
          <w:color w:val="000000"/>
          <w:spacing w:val="0"/>
          <w:sz w:val="32"/>
          <w:szCs w:val="32"/>
          <w:lang w:val="en-US" w:eastAsia="zh-CN"/>
        </w:rPr>
        <w:t>4</w:t>
      </w:r>
      <w:r>
        <w:rPr>
          <w:rFonts w:hint="default" w:ascii="仿宋_GB2312" w:hAnsi="sans-serif" w:eastAsia="仿宋_GB2312" w:cs="仿宋_GB2312"/>
          <w:i w:val="0"/>
          <w:caps w:val="0"/>
          <w:color w:val="000000"/>
          <w:spacing w:val="0"/>
          <w:sz w:val="32"/>
          <w:szCs w:val="32"/>
        </w:rPr>
        <w:t>.</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经费：纳入部门预算管理的</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三公</w:t>
      </w:r>
      <w:r>
        <w:rPr>
          <w:rFonts w:hint="default" w:ascii="sans-serif" w:hAnsi="sans-serif" w:eastAsia="sans-serif" w:cs="sans-serif"/>
          <w:i w:val="0"/>
          <w:caps w:val="0"/>
          <w:color w:val="000000"/>
          <w:spacing w:val="0"/>
          <w:sz w:val="32"/>
          <w:szCs w:val="32"/>
        </w:rPr>
        <w:t>”</w:t>
      </w:r>
      <w:r>
        <w:rPr>
          <w:rFonts w:hint="default" w:ascii="仿宋_GB2312" w:hAnsi="sans-serif" w:eastAsia="仿宋_GB2312" w:cs="仿宋_GB2312"/>
          <w:i w:val="0"/>
          <w:caps w:val="0"/>
          <w:color w:val="000000"/>
          <w:spacing w:val="0"/>
          <w:sz w:val="32"/>
          <w:szCs w:val="32"/>
        </w:rPr>
        <w:t>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spacing w:line="560" w:lineRule="exact"/>
        <w:ind w:firstLine="640" w:firstLineChars="200"/>
        <w:rPr>
          <w:rStyle w:val="13"/>
          <w:rFonts w:hint="default" w:ascii="仿宋_GB2312" w:hAnsi="仿宋_GB2312" w:eastAsia="仿宋_GB2312" w:cs="Times New Roman"/>
          <w:sz w:val="36"/>
          <w:szCs w:val="36"/>
          <w:lang w:val="en-US" w:eastAsia="zh-CN"/>
        </w:rPr>
      </w:pPr>
      <w:r>
        <w:rPr>
          <w:rStyle w:val="13"/>
          <w:rFonts w:hint="eastAsia" w:ascii="仿宋_GB2312" w:hAnsi="仿宋_GB2312" w:eastAsia="仿宋_GB2312" w:cs="Times New Roman"/>
          <w:sz w:val="32"/>
          <w:lang w:val="en-US" w:eastAsia="zh-CN"/>
        </w:rPr>
        <w:t>5.统计信息事务支出：指反映统计、信息事务方面的支出。</w:t>
      </w:r>
    </w:p>
    <w:p>
      <w:pPr>
        <w:pStyle w:val="5"/>
        <w:keepNext w:val="0"/>
        <w:keepLines w:val="0"/>
        <w:widowControl/>
        <w:suppressLineNumbers w:val="0"/>
        <w:spacing w:before="75" w:beforeAutospacing="0" w:after="75" w:afterAutospacing="0" w:line="555" w:lineRule="atLeast"/>
        <w:ind w:left="0" w:right="0" w:firstLine="630"/>
        <w:rPr>
          <w:rFonts w:hint="default" w:ascii="仿宋_GB2312" w:hAnsi="sans-serif" w:eastAsia="仿宋_GB2312" w:cs="仿宋_GB2312"/>
          <w:i w:val="0"/>
          <w:caps w:val="0"/>
          <w:color w:val="000000"/>
          <w:spacing w:val="0"/>
          <w:sz w:val="32"/>
          <w:szCs w:val="32"/>
        </w:rPr>
      </w:pP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true"/>
  <w:drawingGridHorizontalOrigin w:val="0"/>
  <w:drawingGridVerticalOrigin w:val="0"/>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NTMzZjdiNzBlNDY1NDJmZTkzMjdhZGQ3MjNhYWYifQ=="/>
  </w:docVars>
  <w:rsids>
    <w:rsidRoot w:val="00172A27"/>
    <w:rsid w:val="032613CD"/>
    <w:rsid w:val="03A1754A"/>
    <w:rsid w:val="093F1439"/>
    <w:rsid w:val="0966278E"/>
    <w:rsid w:val="0CF95FA5"/>
    <w:rsid w:val="0F007418"/>
    <w:rsid w:val="112E18DF"/>
    <w:rsid w:val="126D4135"/>
    <w:rsid w:val="145D4406"/>
    <w:rsid w:val="1E6509CB"/>
    <w:rsid w:val="23CD5478"/>
    <w:rsid w:val="241412F8"/>
    <w:rsid w:val="25D70563"/>
    <w:rsid w:val="27EA37A1"/>
    <w:rsid w:val="2ACA3816"/>
    <w:rsid w:val="30AB49AF"/>
    <w:rsid w:val="30B317C7"/>
    <w:rsid w:val="35376194"/>
    <w:rsid w:val="3ADD58C4"/>
    <w:rsid w:val="3DB312A6"/>
    <w:rsid w:val="3FFE2572"/>
    <w:rsid w:val="46F66072"/>
    <w:rsid w:val="47AB64AE"/>
    <w:rsid w:val="4969673B"/>
    <w:rsid w:val="4D2D3EA1"/>
    <w:rsid w:val="4F4D6762"/>
    <w:rsid w:val="53BA6580"/>
    <w:rsid w:val="53EB5363"/>
    <w:rsid w:val="583124EA"/>
    <w:rsid w:val="5B16523D"/>
    <w:rsid w:val="5B223155"/>
    <w:rsid w:val="5B9F2B14"/>
    <w:rsid w:val="62BB606B"/>
    <w:rsid w:val="63AF1451"/>
    <w:rsid w:val="659402CC"/>
    <w:rsid w:val="677414FA"/>
    <w:rsid w:val="68D1117E"/>
    <w:rsid w:val="6932121E"/>
    <w:rsid w:val="69334495"/>
    <w:rsid w:val="6951013B"/>
    <w:rsid w:val="69C52442"/>
    <w:rsid w:val="6BEC358E"/>
    <w:rsid w:val="6D21195D"/>
    <w:rsid w:val="6D392725"/>
    <w:rsid w:val="6F0D6DDA"/>
    <w:rsid w:val="6F56640C"/>
    <w:rsid w:val="6F9B316F"/>
    <w:rsid w:val="721B1CC2"/>
    <w:rsid w:val="73E62FB9"/>
    <w:rsid w:val="74C06141"/>
    <w:rsid w:val="76A96C4B"/>
    <w:rsid w:val="77905D1A"/>
    <w:rsid w:val="7CC2297D"/>
    <w:rsid w:val="7EA47B0D"/>
    <w:rsid w:val="7F07123A"/>
    <w:rsid w:val="BF3D77B0"/>
    <w:rsid w:val="CFFB0AC7"/>
    <w:rsid w:val="FEE10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List"/>
    <w:basedOn w:val="3"/>
    <w:qFormat/>
    <w:uiPriority w:val="0"/>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默认段落字体1"/>
    <w:qFormat/>
    <w:uiPriority w:val="0"/>
  </w:style>
  <w:style w:type="paragraph" w:customStyle="1" w:styleId="10">
    <w:name w:val="Index"/>
    <w:basedOn w:val="1"/>
    <w:qFormat/>
    <w:uiPriority w:val="0"/>
    <w:pPr>
      <w:widowControl w:val="0"/>
      <w:suppressLineNumbers/>
      <w:suppressAutoHyphens/>
    </w:pPr>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正文1"/>
    <w:qFormat/>
    <w:uiPriority w:val="0"/>
    <w:pPr>
      <w:widowControl w:val="0"/>
      <w:jc w:val="both"/>
    </w:pPr>
    <w:rPr>
      <w:rFonts w:ascii="Times New Roman" w:hAnsi="Times New Roman" w:eastAsia="Times New Roman" w:cs="Times New Roman"/>
      <w:sz w:val="32"/>
    </w:rPr>
  </w:style>
  <w:style w:type="character" w:customStyle="1" w:styleId="13">
    <w:name w:val="默认段落字体2"/>
    <w:qFormat/>
    <w:uiPriority w:val="0"/>
    <w:rPr>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3691</Words>
  <Characters>3883</Characters>
  <TotalTime>59</TotalTime>
  <ScaleCrop>false</ScaleCrop>
  <LinksUpToDate>false</LinksUpToDate>
  <CharactersWithSpaces>3894</CharactersWithSpaces>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user</dc:creator>
  <cp:lastModifiedBy>dzb</cp:lastModifiedBy>
  <dcterms:modified xsi:type="dcterms:W3CDTF">2024-10-18T17:15:26Z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C4592A547A8F447C8998F288D9A7673B</vt:lpwstr>
  </property>
</Properties>
</file>