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center"/>
        <w:rPr>
          <w:rStyle w:val="9"/>
          <w:rFonts w:hint="eastAsia" w:ascii="方正小标宋简体" w:hAnsi="方正小标宋简体" w:eastAsia="方正小标宋简体" w:cs="方正小标宋简体"/>
          <w:spacing w:val="-20"/>
          <w:sz w:val="52"/>
          <w:szCs w:val="52"/>
          <w:lang w:val="en-US" w:eastAsia="zh-CN"/>
        </w:rPr>
      </w:pPr>
      <w:r>
        <w:rPr>
          <w:rStyle w:val="9"/>
          <w:rFonts w:hint="eastAsia" w:ascii="方正小标宋简体" w:hAnsi="方正小标宋简体" w:eastAsia="方正小标宋简体" w:cs="方正小标宋简体"/>
          <w:spacing w:val="-20"/>
          <w:sz w:val="52"/>
          <w:szCs w:val="52"/>
        </w:rPr>
        <w:t>遂宁经济技术开发区</w:t>
      </w:r>
      <w:r>
        <w:rPr>
          <w:rStyle w:val="9"/>
          <w:rFonts w:hint="eastAsia" w:ascii="方正小标宋简体" w:hAnsi="方正小标宋简体" w:eastAsia="方正小标宋简体" w:cs="方正小标宋简体"/>
          <w:spacing w:val="-20"/>
          <w:sz w:val="52"/>
          <w:szCs w:val="52"/>
          <w:lang w:val="en-US" w:eastAsia="zh-CN"/>
        </w:rPr>
        <w:t>统计事务中心</w:t>
      </w:r>
    </w:p>
    <w:p>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9"/>
          <w:rFonts w:hint="eastAsia" w:ascii="方正小标宋简体" w:hAnsi="方正小标宋简体" w:eastAsia="方正小标宋简体" w:cs="方正小标宋简体"/>
          <w:sz w:val="52"/>
          <w:szCs w:val="52"/>
          <w:lang w:val="en-US" w:eastAsia="zh-CN"/>
        </w:rPr>
        <w:t>2024</w:t>
      </w:r>
      <w:r>
        <w:rPr>
          <w:rFonts w:hint="default" w:ascii="方正小标宋简体" w:hAnsi="方正小标宋简体" w:eastAsia="方正小标宋简体" w:cs="方正小标宋简体"/>
          <w:i w:val="0"/>
          <w:caps w:val="0"/>
          <w:color w:val="000000"/>
          <w:spacing w:val="0"/>
          <w:sz w:val="52"/>
          <w:szCs w:val="52"/>
        </w:rPr>
        <w:t>年部门预算</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5"/>
        <w:keepNext w:val="0"/>
        <w:keepLines w:val="0"/>
        <w:widowControl/>
        <w:suppressLineNumbers w:val="0"/>
        <w:spacing w:before="75" w:beforeAutospacing="0" w:after="75" w:afterAutospacing="0" w:line="600" w:lineRule="atLeast"/>
        <w:ind w:left="1278" w:leftChars="304" w:right="0" w:hanging="640" w:hanging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pPr>
        <w:pStyle w:val="3"/>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遂宁经济技术开发区</w:t>
      </w:r>
      <w:r>
        <w:rPr>
          <w:rFonts w:hint="eastAsia" w:ascii="方正小标宋简体" w:eastAsia="方正小标宋简体"/>
          <w:sz w:val="44"/>
          <w:szCs w:val="44"/>
          <w:lang w:val="en-US" w:eastAsia="zh-CN"/>
        </w:rPr>
        <w:t>统计事务中心</w:t>
      </w:r>
    </w:p>
    <w:p>
      <w:pPr>
        <w:pStyle w:val="5"/>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方正小标宋简体" w:eastAsia="方正小标宋简体" w:cs="Times New Roman"/>
          <w:sz w:val="44"/>
          <w:szCs w:val="44"/>
          <w:lang w:val="en-US" w:eastAsia="zh-CN"/>
        </w:rPr>
        <w:t>2024</w:t>
      </w:r>
      <w:r>
        <w:rPr>
          <w:rFonts w:hint="default" w:ascii="方正小标宋简体" w:hAnsi="方正小标宋简体" w:eastAsia="方正小标宋简体" w:cs="方正小标宋简体"/>
          <w:i w:val="0"/>
          <w:caps w:val="0"/>
          <w:color w:val="000000"/>
          <w:spacing w:val="0"/>
          <w:sz w:val="43"/>
          <w:szCs w:val="43"/>
        </w:rPr>
        <w:t>年部门预算编制说明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12"/>
        <w:keepNext w:val="0"/>
        <w:keepLines w:val="0"/>
        <w:pageBreakBefore w:val="0"/>
        <w:kinsoku/>
        <w:wordWrap/>
        <w:overflowPunct/>
        <w:topLinePunct w:val="0"/>
        <w:autoSpaceDE/>
        <w:autoSpaceDN/>
        <w:bidi w:val="0"/>
        <w:adjustRightInd/>
        <w:snapToGrid/>
        <w:spacing w:line="480" w:lineRule="atLeast"/>
        <w:ind w:firstLine="634"/>
        <w:textAlignment w:val="auto"/>
        <w:rPr>
          <w:rStyle w:val="9"/>
          <w:rFonts w:ascii="仿宋_GB2312" w:hAnsi="仿宋_GB2312" w:eastAsia="仿宋_GB2312"/>
          <w:b/>
        </w:rPr>
      </w:pPr>
      <w:r>
        <w:rPr>
          <w:rStyle w:val="9"/>
          <w:rFonts w:ascii="仿宋_GB2312" w:hAnsi="仿宋_GB2312" w:eastAsia="仿宋_GB2312"/>
          <w:b/>
        </w:rPr>
        <w:t>（一） 职能简介</w:t>
      </w:r>
    </w:p>
    <w:p>
      <w:pPr>
        <w:pStyle w:val="12"/>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负责全区的综合统计工作。组织实施全区工业、建筑业、批发和零售业、住宿和餐饮业等领域四上企业的专业统计及调查国民经济核算工作。</w:t>
      </w:r>
    </w:p>
    <w:p>
      <w:pPr>
        <w:pStyle w:val="12"/>
        <w:keepNext w:val="0"/>
        <w:keepLines w:val="0"/>
        <w:pageBreakBefore w:val="0"/>
        <w:kinsoku/>
        <w:wordWrap/>
        <w:overflowPunct/>
        <w:topLinePunct w:val="0"/>
        <w:autoSpaceDE/>
        <w:autoSpaceDN/>
        <w:bidi w:val="0"/>
        <w:adjustRightInd/>
        <w:snapToGrid/>
        <w:spacing w:line="480" w:lineRule="atLeast"/>
        <w:ind w:firstLine="634"/>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组织开展全区人口、经济等重大国情国力普查，会同有关部门组织实施其他重大国情国力普查，汇总、整理和提供有关国情国力普查资料，负责普查数据对外发布。</w:t>
      </w:r>
    </w:p>
    <w:p>
      <w:pPr>
        <w:pStyle w:val="12"/>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组织各镇（街道）、相关部门开展统计调查工作，综合整理相关统计数据，负责对全区国民经济和社会发展情况进行统计分析、预测和监督，基层统计基础规范化建设工作，基本单位名录库建设和调查单位入库申报工作。</w:t>
      </w:r>
    </w:p>
    <w:p>
      <w:pPr>
        <w:pStyle w:val="12"/>
        <w:keepNext w:val="0"/>
        <w:keepLines w:val="0"/>
        <w:pageBreakBefore w:val="0"/>
        <w:kinsoku/>
        <w:wordWrap/>
        <w:overflowPunct/>
        <w:topLinePunct w:val="0"/>
        <w:autoSpaceDE/>
        <w:autoSpaceDN/>
        <w:bidi w:val="0"/>
        <w:adjustRightInd/>
        <w:snapToGrid/>
        <w:spacing w:line="480" w:lineRule="atLeast"/>
        <w:ind w:firstLine="634"/>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.负责国家统计法律法规宣传普及，组织、监督、检查全区统计法律、法规和统计方法制度的实施。</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.完成党工委、管委会和上级有关部门交办的其他工作。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w:t>
      </w:r>
      <w:r>
        <w:rPr>
          <w:rStyle w:val="8"/>
          <w:rFonts w:hint="eastAsia" w:ascii="楷体_GB2312" w:hAnsi="sans-serif" w:eastAsia="楷体_GB2312" w:cs="楷体_GB2312"/>
          <w:i w:val="0"/>
          <w:caps w:val="0"/>
          <w:color w:val="000000"/>
          <w:spacing w:val="0"/>
          <w:sz w:val="32"/>
          <w:szCs w:val="32"/>
          <w:lang w:val="en-US" w:eastAsia="zh-CN"/>
        </w:rPr>
        <w:t>2024</w:t>
      </w:r>
      <w:r>
        <w:rPr>
          <w:rStyle w:val="8"/>
          <w:rFonts w:hint="default" w:ascii="楷体_GB2312" w:hAnsi="sans-serif" w:eastAsia="楷体_GB2312" w:cs="楷体_GB2312"/>
          <w:i w:val="0"/>
          <w:caps w:val="0"/>
          <w:color w:val="000000"/>
          <w:spacing w:val="0"/>
          <w:sz w:val="32"/>
          <w:szCs w:val="32"/>
        </w:rPr>
        <w:t>年重点工作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default" w:ascii="仿宋_GB2312" w:hAnsi="sans-serif" w:eastAsia="仿宋_GB2312" w:cs="仿宋_GB2312"/>
          <w:i w:val="0"/>
          <w:caps w:val="0"/>
          <w:color w:val="000000"/>
          <w:spacing w:val="0"/>
          <w:sz w:val="32"/>
          <w:szCs w:val="32"/>
        </w:rPr>
        <w:t>一是</w:t>
      </w:r>
      <w:r>
        <w:rPr>
          <w:rFonts w:hint="eastAsia" w:ascii="仿宋_GB2312" w:hAnsi="sans-serif" w:eastAsia="仿宋_GB2312" w:cs="仿宋_GB2312"/>
          <w:i w:val="0"/>
          <w:caps w:val="0"/>
          <w:color w:val="000000"/>
          <w:spacing w:val="0"/>
          <w:sz w:val="32"/>
          <w:szCs w:val="32"/>
          <w:lang w:val="en-US" w:eastAsia="zh-CN"/>
        </w:rPr>
        <w:t>组织实施全区各行业统计。</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val="en-US" w:eastAsia="zh-CN"/>
        </w:rPr>
        <w:t>二是组织开展第五次经济普查工作。</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bCs/>
          <w:sz w:val="32"/>
          <w:szCs w:val="32"/>
          <w:lang w:eastAsia="zh-CN"/>
        </w:rPr>
        <w:t>三是</w:t>
      </w:r>
      <w:r>
        <w:rPr>
          <w:rFonts w:hint="eastAsia" w:ascii="楷体_GB2312" w:hAnsi="楷体_GB2312" w:eastAsia="楷体_GB2312" w:cs="楷体_GB2312"/>
          <w:bCs/>
          <w:sz w:val="32"/>
          <w:szCs w:val="32"/>
          <w:lang w:val="en-US" w:eastAsia="zh-CN"/>
        </w:rPr>
        <w:t>组织各镇（街道）开展劳动力调查，居民收支调查等统计调查。</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下属二级预算单</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所有收入和支出均纳入部门预算管理。收入包括：一般公共预算拨款收入；支出包括：一般公共服务支出。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413.28</w:t>
      </w:r>
      <w:r>
        <w:rPr>
          <w:rFonts w:hint="default" w:ascii="仿宋_GB2312" w:hAnsi="sans-serif" w:eastAsia="仿宋_GB2312" w:cs="仿宋_GB2312"/>
          <w:i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（一）收入预算情况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（二）支出预算情况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val="en-US" w:eastAsia="zh-CN"/>
        </w:rPr>
        <w:t>其中：基本支出15.6万元，占2%；</w:t>
      </w:r>
      <w:r>
        <w:rPr>
          <w:rFonts w:hint="default" w:ascii="仿宋_GB2312" w:hAnsi="sans-serif" w:eastAsia="仿宋_GB2312" w:cs="仿宋_GB2312"/>
          <w:i w:val="0"/>
          <w:caps w:val="0"/>
          <w:color w:val="000000"/>
          <w:spacing w:val="0"/>
          <w:sz w:val="32"/>
          <w:szCs w:val="32"/>
        </w:rPr>
        <w:t>项目支出</w:t>
      </w:r>
      <w:r>
        <w:rPr>
          <w:rFonts w:hint="eastAsia" w:ascii="仿宋_GB2312" w:hAnsi="sans-serif" w:eastAsia="仿宋_GB2312" w:cs="仿宋_GB2312"/>
          <w:i w:val="0"/>
          <w:caps w:val="0"/>
          <w:color w:val="000000"/>
          <w:spacing w:val="0"/>
          <w:sz w:val="32"/>
          <w:szCs w:val="32"/>
          <w:lang w:val="en-US" w:eastAsia="zh-CN"/>
        </w:rPr>
        <w:t>740.90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98%</w:t>
      </w:r>
      <w:r>
        <w:rPr>
          <w:rFonts w:hint="default" w:ascii="仿宋_GB2312" w:hAnsi="sans-serif" w:eastAsia="仿宋_GB2312" w:cs="仿宋_GB2312"/>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万元；支出包括：一般公共服务支出</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（一）一般公共预算当年拨款规模变化情况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较上年</w:t>
      </w:r>
      <w:r>
        <w:rPr>
          <w:rFonts w:hint="eastAsia" w:ascii="仿宋_GB2312" w:hAnsi="sans-serif" w:eastAsia="仿宋_GB2312" w:cs="仿宋_GB2312"/>
          <w:i w:val="0"/>
          <w:caps w:val="0"/>
          <w:color w:val="000000"/>
          <w:spacing w:val="0"/>
          <w:sz w:val="32"/>
          <w:szCs w:val="32"/>
          <w:lang w:val="en-US" w:eastAsia="zh-CN"/>
        </w:rPr>
        <w:t>413.28万元，增长83%，属2024年增加五经普经费120万元，劳务派遣人员于2023年7月增加14人，导致增加经费151万元。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（二）一般公共预算当年拨款结构情况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一般公共服务支出</w:t>
      </w:r>
      <w:r>
        <w:rPr>
          <w:rFonts w:hint="eastAsia" w:ascii="仿宋_GB2312" w:hAnsi="sans-serif" w:eastAsia="仿宋_GB2312" w:cs="仿宋_GB2312"/>
          <w:i w:val="0"/>
          <w:caps w:val="0"/>
          <w:color w:val="000000"/>
          <w:spacing w:val="0"/>
          <w:sz w:val="32"/>
          <w:szCs w:val="32"/>
          <w:lang w:val="en-US" w:eastAsia="zh-CN"/>
        </w:rPr>
        <w:t>756.58</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（三）一般公共预算当年拨款具体使用情况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FF0000"/>
          <w:spacing w:val="0"/>
          <w:sz w:val="32"/>
          <w:szCs w:val="32"/>
        </w:rPr>
      </w:pPr>
      <w:r>
        <w:rPr>
          <w:rFonts w:hint="default" w:ascii="仿宋_GB2312" w:hAnsi="sans-serif" w:eastAsia="仿宋_GB2312" w:cs="仿宋_GB2312"/>
          <w:i w:val="0"/>
          <w:caps w:val="0"/>
          <w:color w:val="000000"/>
          <w:spacing w:val="0"/>
          <w:sz w:val="32"/>
          <w:szCs w:val="32"/>
          <w:lang w:val="en-US" w:eastAsia="zh-CN"/>
        </w:rPr>
        <w:t>1. </w:t>
      </w:r>
      <w:r>
        <w:rPr>
          <w:rFonts w:hint="default" w:ascii="仿宋_GB2312" w:hAnsi="sans-serif" w:eastAsia="仿宋_GB2312" w:cs="仿宋_GB2312"/>
          <w:i w:val="0"/>
          <w:caps w:val="0"/>
          <w:color w:val="000000"/>
          <w:spacing w:val="0"/>
          <w:sz w:val="32"/>
          <w:szCs w:val="32"/>
        </w:rPr>
        <w:t>一般公共服务</w:t>
      </w:r>
      <w:r>
        <w:rPr>
          <w:rFonts w:hint="eastAsia" w:ascii="仿宋_GB2312" w:hAnsi="sans-serif" w:eastAsia="仿宋_GB2312" w:cs="仿宋_GB2312"/>
          <w:i w:val="0"/>
          <w:caps w:val="0"/>
          <w:color w:val="000000"/>
          <w:spacing w:val="0"/>
          <w:sz w:val="32"/>
          <w:szCs w:val="32"/>
          <w:lang w:val="en-US" w:eastAsia="zh-CN"/>
        </w:rPr>
        <w:t>支出</w:t>
      </w:r>
      <w:r>
        <w:rPr>
          <w:rFonts w:hint="default" w:ascii="仿宋_GB2312" w:hAnsi="sans-serif" w:eastAsia="仿宋_GB2312" w:cs="仿宋_GB2312"/>
          <w:i w:val="0"/>
          <w:caps w:val="0"/>
          <w:color w:val="000000"/>
          <w:spacing w:val="0"/>
          <w:sz w:val="32"/>
          <w:szCs w:val="32"/>
        </w:rPr>
        <w:t>（类）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一般行政管理事务</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756.5</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统计专项经费、</w:t>
      </w:r>
      <w:r>
        <w:rPr>
          <w:rFonts w:hint="eastAsia" w:ascii="仿宋_GB2312" w:hAnsi="sans-serif" w:eastAsia="仿宋_GB2312" w:cs="仿宋_GB2312"/>
          <w:i w:val="0"/>
          <w:caps w:val="0"/>
          <w:color w:val="000000"/>
          <w:spacing w:val="0"/>
          <w:sz w:val="32"/>
          <w:szCs w:val="32"/>
          <w:lang w:eastAsia="zh-CN"/>
        </w:rPr>
        <w:t>劳务派遣人员经费及各项专项统计</w:t>
      </w:r>
      <w:r>
        <w:rPr>
          <w:rFonts w:hint="eastAsia" w:ascii="仿宋_GB2312" w:hAnsi="sans-serif" w:eastAsia="仿宋_GB2312" w:cs="仿宋_GB2312"/>
          <w:i w:val="0"/>
          <w:caps w:val="0"/>
          <w:color w:val="000000"/>
          <w:spacing w:val="0"/>
          <w:sz w:val="32"/>
          <w:szCs w:val="32"/>
          <w:lang w:val="en-US" w:eastAsia="zh-CN"/>
        </w:rPr>
        <w:t>等</w:t>
      </w:r>
      <w:r>
        <w:rPr>
          <w:rFonts w:hint="eastAsia" w:ascii="仿宋_GB2312" w:hAnsi="sans-serif" w:eastAsia="仿宋_GB2312" w:cs="仿宋_GB2312"/>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w:t>
      </w:r>
      <w:r>
        <w:rPr>
          <w:rFonts w:hint="eastAsia" w:ascii="仿宋_GB2312" w:hAnsi="sans-serif" w:eastAsia="仿宋_GB2312" w:cs="仿宋_GB2312"/>
          <w:i w:val="0"/>
          <w:caps w:val="0"/>
          <w:color w:val="000000"/>
          <w:spacing w:val="0"/>
          <w:sz w:val="32"/>
          <w:szCs w:val="32"/>
          <w:lang w:val="en-US" w:eastAsia="zh-CN"/>
        </w:rPr>
        <w:t>机关事务</w:t>
      </w:r>
      <w:r>
        <w:rPr>
          <w:rFonts w:hint="default" w:ascii="仿宋_GB2312" w:hAnsi="sans-serif" w:eastAsia="仿宋_GB2312" w:cs="仿宋_GB2312"/>
          <w:i w:val="0"/>
          <w:caps w:val="0"/>
          <w:color w:val="000000"/>
          <w:spacing w:val="0"/>
          <w:sz w:val="32"/>
          <w:szCs w:val="32"/>
        </w:rPr>
        <w:t>（项）</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6.76</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lang w:val="en-US" w:eastAsia="zh-CN"/>
        </w:rPr>
        <w:t>工作人员体检。</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eastAsia" w:ascii="仿宋_GB2312" w:hAnsi="sans-serif" w:eastAsia="仿宋_GB2312" w:cs="仿宋_GB2312"/>
          <w:i w:val="0"/>
          <w:caps w:val="0"/>
          <w:color w:val="000000"/>
          <w:spacing w:val="0"/>
          <w:sz w:val="32"/>
          <w:szCs w:val="32"/>
          <w:lang w:val="en-US" w:eastAsia="zh-CN"/>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15.6万元。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val="en-US" w:eastAsia="zh-CN"/>
        </w:rPr>
        <w:t>无</w:t>
      </w:r>
      <w:r>
        <w:rPr>
          <w:rFonts w:hint="default" w:ascii="仿宋_GB2312" w:hAnsi="sans-serif" w:eastAsia="仿宋_GB2312" w:cs="仿宋_GB2312"/>
          <w:i w:val="0"/>
          <w:caps w:val="0"/>
          <w:color w:val="000000"/>
          <w:spacing w:val="0"/>
          <w:sz w:val="32"/>
          <w:szCs w:val="32"/>
        </w:rPr>
        <w:t>“三公”经费财政拨款预算数</w:t>
      </w:r>
      <w:r>
        <w:rPr>
          <w:rFonts w:hint="eastAsia" w:ascii="仿宋_GB2312" w:hAnsi="sans-serif" w:eastAsia="仿宋_GB2312" w:cs="仿宋_GB2312"/>
          <w:i w:val="0"/>
          <w:caps w:val="0"/>
          <w:color w:val="000000"/>
          <w:spacing w:val="0"/>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（一）因公出国（境）经费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sans-serif" w:eastAsia="楷体_GB2312" w:cs="楷体_GB2312"/>
          <w:i w:val="0"/>
          <w:caps w:val="0"/>
          <w:color w:val="000000"/>
          <w:spacing w:val="0"/>
          <w:sz w:val="32"/>
          <w:szCs w:val="32"/>
        </w:rPr>
        <w:t>上年预算持平。</w:t>
      </w:r>
      <w:r>
        <w:rPr>
          <w:rFonts w:hint="default" w:ascii="仿宋_GB2312" w:hAnsi="sans-serif" w:eastAsia="仿宋_GB2312" w:cs="仿宋_GB2312"/>
          <w:i w:val="0"/>
          <w:caps w:val="0"/>
          <w:color w:val="000000"/>
          <w:spacing w:val="0"/>
          <w:sz w:val="32"/>
          <w:szCs w:val="32"/>
        </w:rPr>
        <w:t>主要原因是</w:t>
      </w:r>
      <w:r>
        <w:rPr>
          <w:rStyle w:val="13"/>
          <w:rFonts w:hint="eastAsia" w:ascii="仿宋_GB2312" w:hAnsi="仿宋_GB2312" w:eastAsia="仿宋_GB2312" w:cs="Times New Roman"/>
          <w:sz w:val="32"/>
          <w:highlight w:val="none"/>
        </w:rPr>
        <w:t>未安排因公出国（境）</w:t>
      </w:r>
      <w:r>
        <w:rPr>
          <w:rFonts w:hint="default" w:ascii="仿宋_GB2312" w:hAnsi="sans-serif" w:eastAsia="仿宋_GB2312" w:cs="仿宋_GB2312"/>
          <w:i w:val="0"/>
          <w:caps w:val="0"/>
          <w:color w:val="000000"/>
          <w:spacing w:val="0"/>
          <w:sz w:val="32"/>
          <w:szCs w:val="32"/>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（二）公务接待费与上年预算持平。</w:t>
      </w:r>
      <w:r>
        <w:rPr>
          <w:rFonts w:hint="default" w:ascii="仿宋_GB2312" w:hAnsi="sans-serif" w:eastAsia="仿宋_GB2312" w:cs="仿宋_GB2312"/>
          <w:i w:val="0"/>
          <w:caps w:val="0"/>
          <w:color w:val="000000"/>
          <w:spacing w:val="0"/>
          <w:sz w:val="32"/>
          <w:szCs w:val="32"/>
        </w:rPr>
        <w:t>主要原因是</w:t>
      </w:r>
      <w:r>
        <w:rPr>
          <w:rStyle w:val="13"/>
          <w:rFonts w:hint="eastAsia" w:ascii="仿宋_GB2312" w:hAnsi="仿宋_GB2312" w:eastAsia="仿宋_GB2312"/>
          <w:sz w:val="32"/>
          <w:highlight w:val="none"/>
          <w:lang w:eastAsia="zh-CN"/>
        </w:rPr>
        <w:t>接待标准未变</w:t>
      </w:r>
      <w:r>
        <w:rPr>
          <w:rFonts w:hint="default" w:ascii="仿宋_GB2312" w:hAnsi="sans-serif" w:eastAsia="仿宋_GB2312" w:cs="仿宋_GB2312"/>
          <w:i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line="480" w:lineRule="atLeast"/>
        <w:ind w:firstLine="640" w:firstLineChars="200"/>
        <w:textAlignment w:val="auto"/>
        <w:rPr>
          <w:rStyle w:val="13"/>
          <w:rFonts w:hint="eastAsia" w:ascii="仿宋_GB2312" w:hAnsi="仿宋_GB2312" w:eastAsia="仿宋_GB2312" w:cs="Times New Roman"/>
          <w:sz w:val="32"/>
          <w:highlight w:val="none"/>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年公务接待费计划用于</w:t>
      </w:r>
      <w:r>
        <w:rPr>
          <w:rStyle w:val="13"/>
          <w:rFonts w:hint="eastAsia" w:ascii="仿宋_GB2312" w:hAnsi="仿宋_GB2312" w:eastAsia="仿宋_GB2312" w:cs="Times New Roman"/>
          <w:sz w:val="32"/>
          <w:highlight w:val="none"/>
        </w:rPr>
        <w:t>公务活动开支的交通费、住宿费、用餐费等。</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预算持平。</w:t>
      </w:r>
      <w:r>
        <w:rPr>
          <w:rStyle w:val="13"/>
          <w:rFonts w:ascii="仿宋_GB2312" w:hAnsi="仿宋_GB2312" w:eastAsia="仿宋_GB2312"/>
          <w:sz w:val="32"/>
          <w:highlight w:val="none"/>
        </w:rPr>
        <w:t>主要原因是</w:t>
      </w:r>
      <w:r>
        <w:rPr>
          <w:rStyle w:val="13"/>
          <w:rFonts w:hint="eastAsia" w:ascii="仿宋_GB2312" w:hAnsi="仿宋_GB2312" w:eastAsia="仿宋_GB2312"/>
          <w:sz w:val="32"/>
          <w:highlight w:val="none"/>
          <w:lang w:eastAsia="zh-CN"/>
        </w:rPr>
        <w:t>现无公务用车</w:t>
      </w:r>
      <w:r>
        <w:rPr>
          <w:rStyle w:val="13"/>
          <w:rFonts w:ascii="仿宋_GB2312" w:hAnsi="仿宋_GB2312" w:eastAsia="仿宋_GB2312"/>
          <w:sz w:val="32"/>
          <w:highlight w:val="none"/>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kern w:val="2"/>
          <w:sz w:val="32"/>
          <w:szCs w:val="32"/>
          <w:lang w:val="en-US" w:eastAsia="zh-CN" w:bidi="ar-SA"/>
        </w:rPr>
        <w:t>2024</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万元，其中：</w:t>
      </w:r>
      <w:r>
        <w:rPr>
          <w:rFonts w:hint="eastAsia" w:ascii="仿宋_GB2312" w:hAnsi="sans-serif" w:eastAsia="仿宋_GB2312" w:cs="仿宋_GB2312"/>
          <w:i w:val="0"/>
          <w:caps w:val="0"/>
          <w:color w:val="000000"/>
          <w:spacing w:val="0"/>
          <w:sz w:val="32"/>
          <w:szCs w:val="32"/>
          <w:lang w:val="en-US" w:eastAsia="zh-CN"/>
        </w:rPr>
        <w:t>会议费0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val="en-US" w:eastAsia="zh-CN"/>
        </w:rPr>
        <w:t>5</w:t>
      </w:r>
      <w:r>
        <w:rPr>
          <w:rFonts w:hint="default" w:ascii="仿宋_GB2312" w:hAnsi="sans-serif" w:eastAsia="仿宋_GB2312" w:cs="仿宋_GB2312"/>
          <w:i w:val="0"/>
          <w:caps w:val="0"/>
          <w:color w:val="000000"/>
          <w:spacing w:val="0"/>
          <w:sz w:val="32"/>
          <w:szCs w:val="32"/>
        </w:rPr>
        <w:t>万元，差旅费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年没有使用政府性基金预算拨款安排的支出。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年没有使用国有资本经营预算拨款安排的支出。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（一）机关运行经费</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的机关运行经费财政拨款预算为</w:t>
      </w:r>
      <w:r>
        <w:rPr>
          <w:rFonts w:hint="eastAsia" w:ascii="仿宋_GB2312" w:hAnsi="sans-serif" w:eastAsia="仿宋_GB2312" w:cs="仿宋_GB2312"/>
          <w:i w:val="0"/>
          <w:caps w:val="0"/>
          <w:color w:val="000000"/>
          <w:spacing w:val="0"/>
          <w:sz w:val="32"/>
          <w:szCs w:val="32"/>
          <w:lang w:val="en-US" w:eastAsia="zh-CN"/>
        </w:rPr>
        <w:t>15.6</w:t>
      </w:r>
      <w:r>
        <w:rPr>
          <w:rFonts w:hint="default" w:ascii="仿宋_GB2312" w:hAnsi="sans-serif" w:eastAsia="仿宋_GB2312" w:cs="仿宋_GB2312"/>
          <w:i w:val="0"/>
          <w:caps w:val="0"/>
          <w:color w:val="000000"/>
          <w:spacing w:val="0"/>
          <w:sz w:val="32"/>
          <w:szCs w:val="32"/>
        </w:rPr>
        <w:t>万元</w:t>
      </w:r>
      <w:r>
        <w:rPr>
          <w:rFonts w:hint="default" w:ascii="仿宋_GB2312" w:hAnsi="sans-serif" w:eastAsia="仿宋_GB2312" w:cs="仿宋_GB2312"/>
          <w:i w:val="0"/>
          <w:caps w:val="0"/>
          <w:color w:val="000000"/>
          <w:spacing w:val="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（二）政府采购情况</w:t>
      </w: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统计事务中心2024</w:t>
      </w:r>
      <w:r>
        <w:rPr>
          <w:rFonts w:hint="default" w:ascii="仿宋_GB2312" w:hAnsi="sans-serif" w:eastAsia="仿宋_GB2312" w:cs="仿宋_GB2312"/>
          <w:i w:val="0"/>
          <w:caps w:val="0"/>
          <w:color w:val="000000"/>
          <w:spacing w:val="0"/>
          <w:sz w:val="32"/>
          <w:szCs w:val="32"/>
        </w:rPr>
        <w:t>年年无政府采购项目，未安排政府采购预算。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（三）国有资产占有使用情况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统计事务中心</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年本部门预算未安排购置车辆及单位价值200万元以上大型设备。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（四）绩效目标设置情况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kinsoku/>
        <w:wordWrap/>
        <w:overflowPunct/>
        <w:topLinePunct w:val="0"/>
        <w:autoSpaceDE/>
        <w:autoSpaceDN/>
        <w:bidi w:val="0"/>
        <w:adjustRightInd/>
        <w:snapToGrid/>
        <w:spacing w:line="480" w:lineRule="atLeast"/>
        <w:ind w:firstLine="640" w:firstLineChars="200"/>
        <w:textAlignment w:val="auto"/>
        <w:rPr>
          <w:rStyle w:val="13"/>
          <w:rFonts w:hint="default" w:ascii="仿宋_GB2312" w:hAnsi="仿宋_GB2312" w:eastAsia="仿宋_GB2312" w:cs="Times New Roman"/>
          <w:sz w:val="36"/>
          <w:szCs w:val="36"/>
          <w:lang w:val="en-US" w:eastAsia="zh-CN"/>
        </w:rPr>
      </w:pPr>
      <w:r>
        <w:rPr>
          <w:rStyle w:val="13"/>
          <w:rFonts w:hint="eastAsia" w:ascii="仿宋_GB2312" w:hAnsi="仿宋_GB2312" w:eastAsia="仿宋_GB2312" w:cs="Times New Roman"/>
          <w:sz w:val="32"/>
          <w:lang w:val="en-US" w:eastAsia="zh-CN"/>
        </w:rPr>
        <w:t>5.统计信息事务支出：指反映统计、信息事务方面的支出。</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atLeast"/>
        <w:ind w:left="0" w:right="0" w:firstLine="630"/>
        <w:textAlignment w:val="auto"/>
        <w:rPr>
          <w:rFonts w:hint="default" w:ascii="仿宋_GB2312" w:hAnsi="sans-serif" w:eastAsia="仿宋_GB2312" w:cs="仿宋_GB2312"/>
          <w:i w:val="0"/>
          <w:caps w:val="0"/>
          <w:color w:val="000000"/>
          <w:spacing w:val="0"/>
          <w:sz w:val="32"/>
          <w:szCs w:val="32"/>
        </w:rPr>
      </w:pPr>
    </w:p>
    <w:p>
      <w:pPr>
        <w:keepNext w:val="0"/>
        <w:keepLines w:val="0"/>
        <w:pageBreakBefore w:val="0"/>
        <w:kinsoku/>
        <w:wordWrap/>
        <w:overflowPunct/>
        <w:topLinePunct w:val="0"/>
        <w:autoSpaceDE/>
        <w:autoSpaceDN/>
        <w:bidi w:val="0"/>
        <w:adjustRightInd/>
        <w:snapToGrid/>
        <w:spacing w:line="480" w:lineRule="atLeast"/>
        <w:textAlignment w:val="auto"/>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sans-serif">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OTVlZTY5ZDRiODc3Mjc4YTJiMGI4MGVmMGM1ZTAifQ=="/>
  </w:docVars>
  <w:rsids>
    <w:rsidRoot w:val="00172A27"/>
    <w:rsid w:val="15DB0FE0"/>
    <w:rsid w:val="241412F8"/>
    <w:rsid w:val="30AB49AF"/>
    <w:rsid w:val="35376194"/>
    <w:rsid w:val="392C24E4"/>
    <w:rsid w:val="5B16523D"/>
    <w:rsid w:val="677414FA"/>
    <w:rsid w:val="6D21195D"/>
    <w:rsid w:val="6D392725"/>
    <w:rsid w:val="721B1CC2"/>
    <w:rsid w:val="77905D1A"/>
    <w:rsid w:val="BF3D77B0"/>
    <w:rsid w:val="CFFB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List"/>
    <w:basedOn w:val="3"/>
    <w:qFormat/>
    <w:uiPriority w:val="0"/>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默认段落字体1"/>
    <w:qFormat/>
    <w:uiPriority w:val="0"/>
  </w:style>
  <w:style w:type="paragraph" w:customStyle="1" w:styleId="10">
    <w:name w:val="Index"/>
    <w:basedOn w:val="1"/>
    <w:qFormat/>
    <w:uiPriority w:val="0"/>
    <w:pPr>
      <w:widowControl w:val="0"/>
      <w:suppressLineNumbers/>
      <w:suppressAutoHyphens/>
    </w:pPr>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正文1"/>
    <w:qFormat/>
    <w:uiPriority w:val="0"/>
    <w:pPr>
      <w:widowControl w:val="0"/>
      <w:jc w:val="both"/>
    </w:pPr>
    <w:rPr>
      <w:rFonts w:ascii="Times New Roman" w:hAnsi="Times New Roman" w:eastAsia="Times New Roman" w:cs="Times New Roman"/>
      <w:sz w:val="32"/>
    </w:rPr>
  </w:style>
  <w:style w:type="character" w:customStyle="1" w:styleId="13">
    <w:name w:val="默认段落字体2"/>
    <w:qFormat/>
    <w:uiPriority w:val="0"/>
    <w:rPr>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4309</Words>
  <Characters>4560</Characters>
  <TotalTime>52</TotalTime>
  <ScaleCrop>false</ScaleCrop>
  <LinksUpToDate>false</LinksUpToDate>
  <CharactersWithSpaces>4564</CharactersWithSpaces>
  <Application>WPS Office_11.8.2.1127_F1E327BC-269C-435d-A152-05C5408002CA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kli</cp:lastModifiedBy>
  <cp:lastPrinted>2024-09-26T11:53:03Z</cp:lastPrinted>
  <dcterms:modified xsi:type="dcterms:W3CDTF">2024-09-26T12:02:49Z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C4592A547A8F447C8998F288D9A7673B</vt:lpwstr>
  </property>
</Properties>
</file>