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B0DF8">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30ADAE1F">
      <w:pPr>
        <w:pStyle w:val="2"/>
        <w:rPr>
          <w:rFonts w:hint="default" w:ascii="方正小标宋简体" w:hAnsi="宋体" w:eastAsia="方正小标宋简体"/>
          <w:color w:val="auto"/>
          <w:sz w:val="72"/>
          <w:szCs w:val="72"/>
          <w:highlight w:val="none"/>
          <w:lang w:val="en-US" w:eastAsia="zh-CN"/>
        </w:rPr>
      </w:pPr>
    </w:p>
    <w:p w14:paraId="40C40BA7">
      <w:pPr>
        <w:pStyle w:val="2"/>
        <w:rPr>
          <w:rFonts w:hint="default" w:ascii="方正小标宋简体" w:hAnsi="宋体" w:eastAsia="方正小标宋简体"/>
          <w:color w:val="auto"/>
          <w:sz w:val="56"/>
          <w:szCs w:val="56"/>
          <w:highlight w:val="none"/>
          <w:lang w:val="en-US" w:eastAsia="zh-CN"/>
        </w:rPr>
      </w:pPr>
    </w:p>
    <w:p w14:paraId="33BADA17">
      <w:pPr>
        <w:spacing w:line="600" w:lineRule="exact"/>
        <w:jc w:val="both"/>
        <w:outlineLvl w:val="0"/>
        <w:rPr>
          <w:rFonts w:ascii="方正小标宋简体" w:hAnsi="宋体" w:eastAsia="方正小标宋简体"/>
          <w:color w:val="auto"/>
          <w:sz w:val="28"/>
          <w:szCs w:val="28"/>
          <w:highlight w:val="none"/>
        </w:rPr>
      </w:pPr>
    </w:p>
    <w:p w14:paraId="1E1CEC9F">
      <w:pPr>
        <w:spacing w:line="600" w:lineRule="exact"/>
        <w:jc w:val="center"/>
        <w:outlineLvl w:val="0"/>
        <w:rPr>
          <w:rFonts w:ascii="方正小标宋简体" w:hAnsi="宋体" w:eastAsia="方正小标宋简体"/>
          <w:color w:val="auto"/>
          <w:sz w:val="72"/>
          <w:szCs w:val="72"/>
          <w:highlight w:val="none"/>
        </w:rPr>
      </w:pPr>
    </w:p>
    <w:p w14:paraId="4AD5AF6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18787"/>
      <w:bookmarkStart w:id="4" w:name="_Toc12673"/>
      <w:bookmarkStart w:id="5" w:name="_Toc15396597"/>
      <w:bookmarkStart w:id="6" w:name="_Toc15378441"/>
      <w:bookmarkStart w:id="7" w:name="_Toc15396475"/>
      <w:bookmarkStart w:id="8" w:name="_Toc10196"/>
      <w:bookmarkStart w:id="9" w:name="_Toc2055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bookmarkEnd w:id="9"/>
      <w:bookmarkStart w:id="10" w:name="_Toc19850"/>
      <w:bookmarkStart w:id="11" w:name="_Toc6453"/>
      <w:bookmarkStart w:id="12" w:name="_Toc15396476"/>
      <w:bookmarkStart w:id="13" w:name="_Toc15377194"/>
      <w:bookmarkStart w:id="14" w:name="_Toc15378442"/>
      <w:bookmarkStart w:id="15" w:name="_Toc15396598"/>
      <w:bookmarkStart w:id="16" w:name="_Toc15377426"/>
    </w:p>
    <w:bookmarkEnd w:id="0"/>
    <w:p w14:paraId="782F3AB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7" w:name="_Toc18632"/>
      <w:bookmarkStart w:id="18" w:name="_Toc10554"/>
      <w:bookmarkStart w:id="19" w:name="_Toc15306268"/>
      <w:r>
        <w:rPr>
          <w:rFonts w:hint="eastAsia" w:ascii="方正小标宋简体" w:hAnsi="方正小标宋简体" w:eastAsia="方正小标宋简体" w:cs="方正小标宋简体"/>
          <w:color w:val="auto"/>
          <w:sz w:val="72"/>
          <w:szCs w:val="72"/>
          <w:highlight w:val="none"/>
          <w:lang w:eastAsia="zh-CN"/>
        </w:rPr>
        <w:t>四川省遂宁市船山区</w:t>
      </w:r>
      <w:bookmarkEnd w:id="17"/>
      <w:bookmarkEnd w:id="18"/>
    </w:p>
    <w:p w14:paraId="2EF4AED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20" w:name="_Toc26971"/>
      <w:bookmarkStart w:id="21" w:name="_Toc7610"/>
      <w:r>
        <w:rPr>
          <w:rFonts w:hint="eastAsia" w:ascii="方正小标宋简体" w:hAnsi="方正小标宋简体" w:eastAsia="方正小标宋简体" w:cs="方正小标宋简体"/>
          <w:color w:val="auto"/>
          <w:sz w:val="72"/>
          <w:szCs w:val="72"/>
          <w:highlight w:val="none"/>
          <w:lang w:eastAsia="zh-CN"/>
        </w:rPr>
        <w:t>北固镇人民政府</w:t>
      </w:r>
      <w:bookmarkEnd w:id="10"/>
      <w:bookmarkEnd w:id="11"/>
      <w:bookmarkStart w:id="22" w:name="_Toc17518"/>
      <w:bookmarkStart w:id="23" w:name="_Toc14842"/>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12"/>
      <w:bookmarkEnd w:id="13"/>
      <w:bookmarkEnd w:id="14"/>
      <w:bookmarkEnd w:id="15"/>
      <w:bookmarkEnd w:id="16"/>
      <w:bookmarkEnd w:id="19"/>
      <w:bookmarkEnd w:id="20"/>
      <w:bookmarkEnd w:id="21"/>
      <w:bookmarkEnd w:id="22"/>
      <w:bookmarkEnd w:id="23"/>
    </w:p>
    <w:p w14:paraId="62AFBCDE">
      <w:pPr>
        <w:widowControl/>
        <w:jc w:val="center"/>
        <w:rPr>
          <w:rFonts w:ascii="黑体" w:hAnsi="黑体" w:eastAsia="黑体"/>
          <w:color w:val="auto"/>
          <w:sz w:val="48"/>
          <w:szCs w:val="48"/>
          <w:highlight w:val="none"/>
        </w:rPr>
      </w:pPr>
      <w:r>
        <w:rPr>
          <w:rFonts w:hint="eastAsia" w:ascii="方正小标宋简体" w:hAnsi="宋体" w:eastAsia="方正小标宋简体"/>
          <w:color w:val="auto"/>
          <w:sz w:val="52"/>
          <w:szCs w:val="52"/>
          <w:highlight w:val="none"/>
          <w:lang w:val="en-US" w:eastAsia="zh-CN"/>
        </w:rPr>
        <w:t xml:space="preserve"> </w:t>
      </w:r>
      <w:r>
        <w:rPr>
          <w:rFonts w:ascii="方正小标宋简体" w:hAnsi="宋体" w:eastAsia="方正小标宋简体"/>
          <w:color w:val="auto"/>
          <w:sz w:val="36"/>
          <w:szCs w:val="36"/>
          <w:highlight w:val="none"/>
        </w:rPr>
        <w:br w:type="page"/>
      </w:r>
      <w:r>
        <w:rPr>
          <w:rFonts w:hint="eastAsia" w:ascii="黑体" w:hAnsi="黑体" w:eastAsia="黑体"/>
          <w:color w:val="auto"/>
          <w:sz w:val="52"/>
          <w:szCs w:val="52"/>
          <w:highlight w:val="none"/>
        </w:rPr>
        <w:t>目</w:t>
      </w:r>
      <w:r>
        <w:rPr>
          <w:rFonts w:hint="eastAsia" w:ascii="黑体" w:hAnsi="黑体" w:eastAsia="黑体"/>
          <w:color w:val="auto"/>
          <w:sz w:val="52"/>
          <w:szCs w:val="52"/>
          <w:highlight w:val="none"/>
          <w:lang w:val="en-US" w:eastAsia="zh-CN"/>
        </w:rPr>
        <w:t xml:space="preserve"> </w:t>
      </w:r>
      <w:r>
        <w:rPr>
          <w:rFonts w:hint="eastAsia" w:ascii="黑体" w:hAnsi="黑体" w:eastAsia="黑体"/>
          <w:color w:val="auto"/>
          <w:sz w:val="52"/>
          <w:szCs w:val="52"/>
          <w:highlight w:val="none"/>
        </w:rPr>
        <w:t>录</w:t>
      </w:r>
      <w:bookmarkStart w:id="117" w:name="_GoBack"/>
      <w:bookmarkEnd w:id="117"/>
    </w:p>
    <w:p w14:paraId="68AB1567">
      <w:pPr>
        <w:widowControl/>
        <w:jc w:val="center"/>
        <w:rPr>
          <w:rFonts w:ascii="黑体" w:hAnsi="黑体" w:eastAsia="黑体" w:cstheme="minorBidi"/>
          <w:color w:val="auto"/>
          <w:sz w:val="28"/>
          <w:szCs w:val="28"/>
          <w:highlight w:val="none"/>
        </w:rPr>
      </w:pPr>
    </w:p>
    <w:p w14:paraId="321DA8DB">
      <w:pPr>
        <w:tabs>
          <w:tab w:val="right" w:leader="dot" w:pos="8296"/>
        </w:tabs>
        <w:jc w:val="center"/>
        <w:rPr>
          <w:rFonts w:hint="eastAsia" w:ascii="宋体" w:hAnsi="宋体" w:eastAsia="宋体" w:cs="宋体"/>
          <w:kern w:val="2"/>
          <w:sz w:val="28"/>
          <w:szCs w:val="28"/>
          <w:lang w:val="en-US" w:eastAsia="zh-CN" w:bidi="ar-SA"/>
        </w:rPr>
      </w:pPr>
      <w:r>
        <w:rPr>
          <w:rFonts w:hint="eastAsia"/>
          <w:color w:val="auto"/>
          <w:sz w:val="32"/>
          <w:szCs w:val="32"/>
          <w:highlight w:val="none"/>
        </w:rPr>
        <w:t>公开时间：20</w:t>
      </w:r>
      <w:r>
        <w:rPr>
          <w:rFonts w:hint="eastAsia"/>
          <w:color w:val="auto"/>
          <w:sz w:val="32"/>
          <w:szCs w:val="32"/>
          <w:highlight w:val="none"/>
          <w:lang w:val="en-US" w:eastAsia="zh-CN"/>
        </w:rPr>
        <w:t>24</w:t>
      </w:r>
      <w:r>
        <w:rPr>
          <w:rFonts w:hint="eastAsia"/>
          <w:color w:val="auto"/>
          <w:sz w:val="32"/>
          <w:szCs w:val="32"/>
          <w:highlight w:val="none"/>
        </w:rPr>
        <w:t>年</w:t>
      </w:r>
      <w:r>
        <w:rPr>
          <w:rFonts w:hint="eastAsia"/>
          <w:color w:val="auto"/>
          <w:sz w:val="32"/>
          <w:szCs w:val="32"/>
          <w:highlight w:val="none"/>
          <w:lang w:val="en-US" w:eastAsia="zh-CN"/>
        </w:rPr>
        <w:t>8</w:t>
      </w:r>
      <w:r>
        <w:rPr>
          <w:rFonts w:hint="eastAsia"/>
          <w:color w:val="auto"/>
          <w:sz w:val="32"/>
          <w:szCs w:val="32"/>
          <w:highlight w:val="none"/>
        </w:rPr>
        <w:t>月</w:t>
      </w:r>
      <w:r>
        <w:rPr>
          <w:rFonts w:hint="eastAsia"/>
          <w:color w:val="auto"/>
          <w:sz w:val="32"/>
          <w:szCs w:val="32"/>
          <w:highlight w:val="none"/>
          <w:lang w:val="en-US" w:eastAsia="zh-CN"/>
        </w:rPr>
        <w:t>22</w:t>
      </w:r>
      <w:r>
        <w:rPr>
          <w:rFonts w:hint="eastAsia"/>
          <w:color w:val="auto"/>
          <w:sz w:val="32"/>
          <w:szCs w:val="32"/>
          <w:highlight w:val="none"/>
        </w:rPr>
        <w:t>日</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p>
    <w:p w14:paraId="4ABA540C">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_Toc23417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 xml:space="preserve">第一部分 </w:t>
      </w:r>
      <w:r>
        <w:rPr>
          <w:rFonts w:hint="eastAsia" w:ascii="宋体" w:hAnsi="宋体" w:eastAsia="宋体" w:cs="宋体"/>
          <w:sz w:val="28"/>
          <w:szCs w:val="28"/>
          <w:highlight w:val="none"/>
          <w:lang w:eastAsia="zh-CN"/>
        </w:rPr>
        <w:t>单位</w:t>
      </w:r>
      <w:r>
        <w:rPr>
          <w:rFonts w:hint="eastAsia" w:ascii="宋体" w:hAnsi="宋体" w:eastAsia="宋体" w:cs="宋体"/>
          <w:bCs w:val="0"/>
          <w:sz w:val="28"/>
          <w:szCs w:val="28"/>
          <w:highlight w:val="none"/>
        </w:rPr>
        <w:t>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_Toc23417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31979E">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_Toc14673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一、主要职责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_Toc14673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3D7856">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_Toc21464 </w:instrText>
      </w:r>
      <w:r>
        <w:rPr>
          <w:rFonts w:hint="eastAsia" w:ascii="宋体" w:hAnsi="宋体" w:eastAsia="宋体" w:cs="宋体"/>
          <w:sz w:val="28"/>
          <w:szCs w:val="28"/>
        </w:rPr>
        <w:fldChar w:fldCharType="separate"/>
      </w:r>
      <w:r>
        <w:rPr>
          <w:rFonts w:hint="eastAsia" w:ascii="宋体" w:hAnsi="宋体" w:cs="宋体"/>
          <w:sz w:val="28"/>
          <w:szCs w:val="28"/>
          <w:highlight w:val="none"/>
          <w:lang w:val="en-US" w:eastAsia="zh-CN"/>
        </w:rPr>
        <w:t>二</w:t>
      </w:r>
      <w:r>
        <w:rPr>
          <w:rFonts w:hint="eastAsia" w:ascii="宋体" w:hAnsi="宋体" w:eastAsia="宋体" w:cs="宋体"/>
          <w:sz w:val="28"/>
          <w:szCs w:val="28"/>
          <w:highlight w:val="none"/>
          <w:lang w:val="en-US" w:eastAsia="zh-CN"/>
        </w:rPr>
        <w:t>、机构设置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_Toc21464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9AEF1E">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_Toc1200 </w:instrText>
      </w:r>
      <w:r>
        <w:rPr>
          <w:rFonts w:hint="eastAsia" w:ascii="宋体" w:hAnsi="宋体" w:eastAsia="宋体" w:cs="宋体"/>
          <w:sz w:val="28"/>
          <w:szCs w:val="28"/>
        </w:rPr>
        <w:fldChar w:fldCharType="separate"/>
      </w:r>
      <w:r>
        <w:rPr>
          <w:rFonts w:hint="eastAsia" w:ascii="宋体" w:hAnsi="宋体" w:eastAsia="宋体" w:cs="宋体"/>
          <w:bCs/>
          <w:sz w:val="28"/>
          <w:szCs w:val="28"/>
          <w:highlight w:val="none"/>
        </w:rPr>
        <w:t xml:space="preserve">第二部分 </w:t>
      </w:r>
      <w:r>
        <w:rPr>
          <w:rFonts w:hint="eastAsia" w:ascii="宋体" w:hAnsi="宋体" w:eastAsia="宋体" w:cs="宋体"/>
          <w:bCs/>
          <w:sz w:val="28"/>
          <w:szCs w:val="28"/>
          <w:highlight w:val="none"/>
          <w:lang w:val="en-US" w:eastAsia="zh-CN"/>
        </w:rPr>
        <w:t>2023年度</w:t>
      </w:r>
      <w:r>
        <w:rPr>
          <w:rFonts w:hint="eastAsia" w:ascii="宋体" w:hAnsi="宋体" w:eastAsia="宋体" w:cs="宋体"/>
          <w:bCs/>
          <w:sz w:val="28"/>
          <w:szCs w:val="28"/>
          <w:highlight w:val="none"/>
          <w:lang w:eastAsia="zh-CN"/>
        </w:rPr>
        <w:t>单位</w:t>
      </w:r>
      <w:r>
        <w:rPr>
          <w:rFonts w:hint="eastAsia" w:ascii="宋体" w:hAnsi="宋体" w:eastAsia="宋体" w:cs="宋体"/>
          <w:bCs/>
          <w:sz w:val="28"/>
          <w:szCs w:val="28"/>
          <w:highlight w:val="none"/>
        </w:rPr>
        <w:t>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19CF30">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_Toc16610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_Toc16610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6A93BB">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_Toc2062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二、 </w:t>
      </w:r>
      <w:r>
        <w:rPr>
          <w:rFonts w:hint="eastAsia" w:ascii="宋体" w:hAnsi="宋体" w:eastAsia="宋体" w:cs="宋体"/>
          <w:sz w:val="28"/>
          <w:szCs w:val="28"/>
          <w:highlight w:val="none"/>
        </w:rPr>
        <w:t>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_Toc2062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EEA993">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_Toc369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三、 </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F9BAE5">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_Toc20630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_Toc20630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F3FB62">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_Toc17127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_Toc17127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1B6096">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_Toc23893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_Toc23893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88D357">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_Toc4122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七、“三公”经费财政拨款支出决算情况说明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_Toc4122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982CDF">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_Toc12043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_Toc12043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F46987">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_Toc13358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_Toc13358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B68B5B">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_Toc10195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十、 </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_Toc10195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9294BA">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_Toc2278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第三部分 </w:t>
      </w:r>
      <w:r>
        <w:rPr>
          <w:rFonts w:hint="eastAsia" w:ascii="宋体" w:hAnsi="宋体" w:eastAsia="宋体" w:cs="宋体"/>
          <w:sz w:val="28"/>
          <w:szCs w:val="28"/>
          <w:highlight w:val="none"/>
        </w:rPr>
        <w:t>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89CCAB">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_Toc8730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第四部分 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_Toc8730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8253C3">
      <w:pPr>
        <w:pStyle w:val="10"/>
        <w:tabs>
          <w:tab w:val="right" w:leader="dot" w:pos="8306"/>
          <w:tab w:val="clear" w:pos="8296"/>
        </w:tabs>
        <w:rPr>
          <w:rFonts w:hint="eastAsia" w:ascii="宋体" w:hAnsi="宋体" w:eastAsia="宋体" w:cs="宋体"/>
          <w:sz w:val="28"/>
          <w:szCs w:val="28"/>
        </w:rPr>
      </w:pPr>
    </w:p>
    <w:p w14:paraId="157382A6">
      <w:pPr>
        <w:rPr>
          <w:rFonts w:hint="eastAsia"/>
        </w:rPr>
      </w:pPr>
    </w:p>
    <w:p w14:paraId="59BC6775">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_Toc8343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第五部分 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_Toc8343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CE5999">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_Toc21809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一、收</w:t>
      </w:r>
      <w:r>
        <w:rPr>
          <w:rFonts w:hint="eastAsia" w:ascii="宋体" w:hAnsi="宋体" w:eastAsia="宋体" w:cs="宋体"/>
          <w:bCs w:val="0"/>
          <w:sz w:val="28"/>
          <w:szCs w:val="28"/>
          <w:highlight w:val="none"/>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_Toc21809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471167">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_Toc31074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二、收</w:t>
      </w:r>
      <w:r>
        <w:rPr>
          <w:rFonts w:hint="eastAsia" w:ascii="宋体" w:hAnsi="宋体" w:eastAsia="宋体" w:cs="宋体"/>
          <w:bCs w:val="0"/>
          <w:sz w:val="28"/>
          <w:szCs w:val="28"/>
          <w:highlight w:val="none"/>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_Toc31074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C4E24C">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_Toc30147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三、</w:t>
      </w:r>
      <w:r>
        <w:rPr>
          <w:rFonts w:hint="eastAsia" w:ascii="宋体" w:hAnsi="宋体" w:eastAsia="宋体" w:cs="宋体"/>
          <w:sz w:val="28"/>
          <w:szCs w:val="28"/>
          <w:highlight w:val="none"/>
        </w:rPr>
        <w:t>支</w:t>
      </w:r>
      <w:r>
        <w:rPr>
          <w:rFonts w:hint="eastAsia" w:ascii="宋体" w:hAnsi="宋体" w:eastAsia="宋体" w:cs="宋体"/>
          <w:bCs w:val="0"/>
          <w:sz w:val="28"/>
          <w:szCs w:val="28"/>
          <w:highlight w:val="none"/>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_Toc30147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EC095E">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_Toc30966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四、</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_Toc30966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55C099">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_Toc11463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五、</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_Toc11463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79CD89">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_Toc9667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六、</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_Toc9667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27C023">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_Toc22389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七、</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_Toc22389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505121">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_Toc7837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八、</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_Toc7837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85BADC">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_Toc24034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九、</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_Toc24034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F9FF8F">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_Toc9610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_Toc9610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7F1EE9">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_Toc13082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十一、</w:t>
      </w:r>
      <w:r>
        <w:rPr>
          <w:rFonts w:hint="eastAsia" w:ascii="宋体" w:hAnsi="宋体" w:eastAsia="宋体" w:cs="宋体"/>
          <w:sz w:val="28"/>
          <w:szCs w:val="28"/>
          <w:highlight w:val="none"/>
        </w:rPr>
        <w:t>国</w:t>
      </w:r>
      <w:r>
        <w:rPr>
          <w:rFonts w:hint="eastAsia" w:ascii="宋体" w:hAnsi="宋体" w:eastAsia="宋体" w:cs="宋体"/>
          <w:bCs w:val="0"/>
          <w:sz w:val="28"/>
          <w:szCs w:val="28"/>
          <w:highlight w:val="none"/>
        </w:rPr>
        <w:t>有资本经营预算</w:t>
      </w:r>
      <w:r>
        <w:rPr>
          <w:rFonts w:hint="eastAsia" w:ascii="宋体" w:hAnsi="宋体" w:eastAsia="宋体" w:cs="宋体"/>
          <w:bCs w:val="0"/>
          <w:sz w:val="28"/>
          <w:szCs w:val="28"/>
          <w:highlight w:val="none"/>
          <w:lang w:eastAsia="zh-CN"/>
        </w:rPr>
        <w:t>财政拨款收入</w:t>
      </w:r>
      <w:r>
        <w:rPr>
          <w:rFonts w:hint="eastAsia" w:ascii="宋体" w:hAnsi="宋体" w:eastAsia="宋体" w:cs="宋体"/>
          <w:bCs w:val="0"/>
          <w:sz w:val="28"/>
          <w:szCs w:val="28"/>
          <w:highlight w:val="none"/>
        </w:rPr>
        <w:t>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_Toc13082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6D4147">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_Toc15878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十二、</w:t>
      </w:r>
      <w:r>
        <w:rPr>
          <w:rFonts w:hint="eastAsia" w:ascii="宋体" w:hAnsi="宋体" w:eastAsia="宋体" w:cs="宋体"/>
          <w:bCs w:val="0"/>
          <w:sz w:val="28"/>
          <w:szCs w:val="28"/>
          <w:highlight w:val="none"/>
          <w:lang w:eastAsia="zh-CN"/>
        </w:rPr>
        <w:t>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_Toc15878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F2BE04">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_Toc7901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十三、</w:t>
      </w:r>
      <w:r>
        <w:rPr>
          <w:rFonts w:hint="eastAsia" w:ascii="宋体" w:hAnsi="宋体" w:eastAsia="宋体" w:cs="宋体"/>
          <w:bCs w:val="0"/>
          <w:sz w:val="28"/>
          <w:szCs w:val="28"/>
          <w:highlight w:val="none"/>
          <w:lang w:eastAsia="zh-CN"/>
        </w:rPr>
        <w:t>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_Toc7901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2640E9">
      <w:pPr>
        <w:pStyle w:val="10"/>
        <w:jc w:val="center"/>
        <w:rPr>
          <w:rFonts w:hint="eastAsia" w:ascii="宋体" w:hAnsi="宋体" w:eastAsia="宋体" w:cs="宋体"/>
          <w:sz w:val="28"/>
          <w:szCs w:val="28"/>
        </w:rPr>
      </w:pPr>
      <w:r>
        <w:rPr>
          <w:rFonts w:hint="eastAsia" w:ascii="宋体" w:hAnsi="宋体" w:eastAsia="宋体" w:cs="宋体"/>
          <w:sz w:val="28"/>
          <w:szCs w:val="28"/>
        </w:rPr>
        <w:fldChar w:fldCharType="end"/>
      </w:r>
    </w:p>
    <w:p w14:paraId="05B12438">
      <w:pPr>
        <w:pStyle w:val="3"/>
        <w:jc w:val="center"/>
        <w:rPr>
          <w:rFonts w:hint="eastAsia" w:ascii="黑体" w:hAnsi="黑体" w:eastAsia="黑体"/>
          <w:b w:val="0"/>
          <w:color w:val="auto"/>
          <w:highlight w:val="none"/>
        </w:rPr>
      </w:pPr>
      <w:bookmarkStart w:id="24" w:name="_Toc15377196"/>
      <w:bookmarkStart w:id="25" w:name="_Toc15396599"/>
    </w:p>
    <w:p w14:paraId="6E582468">
      <w:pPr>
        <w:rPr>
          <w:rFonts w:hint="eastAsia" w:ascii="黑体" w:hAnsi="黑体" w:eastAsia="黑体"/>
          <w:b w:val="0"/>
          <w:color w:val="auto"/>
          <w:highlight w:val="none"/>
        </w:rPr>
      </w:pPr>
    </w:p>
    <w:p w14:paraId="0AE0E2C0">
      <w:pPr>
        <w:pStyle w:val="2"/>
        <w:rPr>
          <w:rFonts w:hint="eastAsia"/>
        </w:rPr>
      </w:pPr>
    </w:p>
    <w:p w14:paraId="5D16AA89">
      <w:pPr>
        <w:pStyle w:val="3"/>
        <w:jc w:val="center"/>
        <w:rPr>
          <w:rFonts w:ascii="黑体" w:eastAsia="黑体"/>
          <w:color w:val="auto"/>
          <w:sz w:val="32"/>
          <w:szCs w:val="32"/>
          <w:highlight w:val="none"/>
        </w:rPr>
      </w:pPr>
      <w:bookmarkStart w:id="26" w:name="_Toc2341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24"/>
      <w:bookmarkEnd w:id="25"/>
      <w:bookmarkEnd w:id="26"/>
    </w:p>
    <w:p w14:paraId="425C9F32">
      <w:pPr>
        <w:pStyle w:val="4"/>
        <w:numPr>
          <w:ilvl w:val="0"/>
          <w:numId w:val="0"/>
        </w:numPr>
        <w:rPr>
          <w:rFonts w:hint="eastAsia" w:ascii="黑体" w:hAnsi="黑体" w:eastAsia="黑体"/>
          <w:b w:val="0"/>
          <w:color w:val="auto"/>
          <w:highlight w:val="none"/>
          <w:lang w:val="en-US" w:eastAsia="zh-CN"/>
        </w:rPr>
      </w:pPr>
      <w:bookmarkStart w:id="27" w:name="_Toc14673"/>
      <w:bookmarkStart w:id="28" w:name="_Toc15377197"/>
      <w:bookmarkStart w:id="29" w:name="_Toc15396600"/>
      <w:r>
        <w:rPr>
          <w:rFonts w:hint="eastAsia" w:ascii="黑体" w:hAnsi="黑体" w:eastAsia="黑体"/>
          <w:b w:val="0"/>
          <w:color w:val="auto"/>
          <w:highlight w:val="none"/>
          <w:lang w:val="en-US" w:eastAsia="zh-CN"/>
        </w:rPr>
        <w:t>一、主要职责</w:t>
      </w:r>
      <w:bookmarkEnd w:id="27"/>
    </w:p>
    <w:p w14:paraId="2A57A531">
      <w:pPr>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1、全面落实上级各项决议决定，落实各项农村</w:t>
      </w:r>
      <w:r>
        <w:rPr>
          <w:rFonts w:hint="eastAsia" w:ascii="仿宋_GB2312" w:hAnsi="仿宋_GB2312" w:eastAsia="仿宋_GB2312" w:cs="仿宋_GB2312"/>
          <w:bCs/>
          <w:color w:val="auto"/>
          <w:sz w:val="32"/>
          <w:szCs w:val="32"/>
          <w:lang w:val="en-US" w:eastAsia="zh-CN"/>
        </w:rPr>
        <w:t>农业</w:t>
      </w:r>
      <w:r>
        <w:rPr>
          <w:rFonts w:hint="eastAsia" w:ascii="仿宋_GB2312" w:hAnsi="仿宋_GB2312" w:eastAsia="仿宋_GB2312" w:cs="仿宋_GB2312"/>
          <w:bCs/>
          <w:color w:val="auto"/>
          <w:sz w:val="32"/>
          <w:szCs w:val="32"/>
        </w:rPr>
        <w:t>政策，以发展经济、发展生产、推动社会稳定持续发展为目的，做好全</w:t>
      </w:r>
      <w:r>
        <w:rPr>
          <w:rFonts w:hint="eastAsia" w:ascii="仿宋_GB2312" w:hAnsi="仿宋_GB2312" w:eastAsia="仿宋_GB2312" w:cs="仿宋_GB2312"/>
          <w:bCs/>
          <w:color w:val="auto"/>
          <w:sz w:val="32"/>
          <w:szCs w:val="32"/>
          <w:lang w:eastAsia="zh-CN"/>
        </w:rPr>
        <w:t>镇</w:t>
      </w:r>
      <w:r>
        <w:rPr>
          <w:rFonts w:hint="eastAsia" w:ascii="仿宋_GB2312" w:hAnsi="仿宋_GB2312" w:eastAsia="仿宋_GB2312" w:cs="仿宋_GB2312"/>
          <w:bCs/>
          <w:color w:val="auto"/>
          <w:sz w:val="32"/>
          <w:szCs w:val="32"/>
        </w:rPr>
        <w:t>的行政管理</w:t>
      </w:r>
      <w:r>
        <w:rPr>
          <w:rFonts w:hint="eastAsia" w:ascii="仿宋_GB2312" w:hAnsi="仿宋_GB2312" w:eastAsia="仿宋_GB2312" w:cs="仿宋_GB2312"/>
          <w:bCs/>
          <w:color w:val="auto"/>
          <w:sz w:val="32"/>
          <w:szCs w:val="32"/>
          <w:lang w:val="en-US" w:eastAsia="zh-CN"/>
        </w:rPr>
        <w:t>和社会服务</w:t>
      </w:r>
      <w:r>
        <w:rPr>
          <w:rFonts w:hint="eastAsia" w:ascii="仿宋_GB2312" w:hAnsi="仿宋_GB2312" w:eastAsia="仿宋_GB2312" w:cs="仿宋_GB2312"/>
          <w:bCs/>
          <w:color w:val="auto"/>
          <w:sz w:val="32"/>
          <w:szCs w:val="32"/>
        </w:rPr>
        <w:t>工作。</w:t>
      </w:r>
    </w:p>
    <w:p w14:paraId="35DCF10A">
      <w:pPr>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2、结合</w:t>
      </w:r>
      <w:r>
        <w:rPr>
          <w:rFonts w:hint="eastAsia" w:ascii="仿宋_GB2312" w:hAnsi="仿宋_GB2312" w:eastAsia="仿宋_GB2312" w:cs="仿宋_GB2312"/>
          <w:bCs/>
          <w:color w:val="auto"/>
          <w:sz w:val="32"/>
          <w:szCs w:val="32"/>
          <w:lang w:eastAsia="zh-CN"/>
        </w:rPr>
        <w:t>镇</w:t>
      </w:r>
      <w:r>
        <w:rPr>
          <w:rFonts w:hint="eastAsia" w:ascii="仿宋_GB2312" w:hAnsi="仿宋_GB2312" w:eastAsia="仿宋_GB2312" w:cs="仿宋_GB2312"/>
          <w:bCs/>
          <w:color w:val="auto"/>
          <w:sz w:val="32"/>
          <w:szCs w:val="32"/>
        </w:rPr>
        <w:t>情制定实施</w:t>
      </w:r>
      <w:r>
        <w:rPr>
          <w:rFonts w:hint="eastAsia" w:ascii="仿宋_GB2312" w:hAnsi="仿宋_GB2312" w:eastAsia="仿宋_GB2312" w:cs="仿宋_GB2312"/>
          <w:bCs/>
          <w:color w:val="auto"/>
          <w:sz w:val="32"/>
          <w:szCs w:val="32"/>
          <w:lang w:val="en-US" w:eastAsia="zh-CN"/>
        </w:rPr>
        <w:t>各项</w:t>
      </w:r>
      <w:r>
        <w:rPr>
          <w:rFonts w:hint="eastAsia" w:ascii="仿宋_GB2312" w:hAnsi="仿宋_GB2312" w:eastAsia="仿宋_GB2312" w:cs="仿宋_GB2312"/>
          <w:bCs/>
          <w:color w:val="auto"/>
          <w:sz w:val="32"/>
          <w:szCs w:val="32"/>
        </w:rPr>
        <w:t>发展规划、工作计划、重点项目计划。建立健全适应现代农村发展的管理制度和管理办法。</w:t>
      </w:r>
    </w:p>
    <w:p w14:paraId="21B25679">
      <w:pPr>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3、抓好中心工作、重点工作，保证各项工作统一协调发展，全面落实。</w:t>
      </w:r>
    </w:p>
    <w:p w14:paraId="15A7CA27">
      <w:pPr>
        <w:ind w:firstLine="640" w:firstLineChars="200"/>
        <w:rPr>
          <w:rFonts w:hint="eastAsia"/>
        </w:rPr>
      </w:pPr>
      <w:r>
        <w:rPr>
          <w:rFonts w:hint="eastAsia" w:ascii="仿宋_GB2312" w:hAnsi="仿宋_GB2312" w:eastAsia="仿宋_GB2312" w:cs="仿宋_GB2312"/>
          <w:bCs/>
          <w:color w:val="auto"/>
          <w:sz w:val="32"/>
          <w:szCs w:val="32"/>
        </w:rPr>
        <w:t>4、完成上级</w:t>
      </w:r>
      <w:r>
        <w:rPr>
          <w:rFonts w:hint="eastAsia" w:ascii="仿宋_GB2312" w:hAnsi="仿宋_GB2312" w:eastAsia="仿宋_GB2312" w:cs="仿宋_GB2312"/>
          <w:bCs/>
          <w:color w:val="auto"/>
          <w:sz w:val="32"/>
          <w:szCs w:val="32"/>
          <w:lang w:eastAsia="zh-CN"/>
        </w:rPr>
        <w:t>党委、</w:t>
      </w:r>
      <w:r>
        <w:rPr>
          <w:rFonts w:hint="eastAsia" w:ascii="仿宋_GB2312" w:hAnsi="仿宋_GB2312" w:eastAsia="仿宋_GB2312" w:cs="仿宋_GB2312"/>
          <w:bCs/>
          <w:color w:val="auto"/>
          <w:sz w:val="32"/>
          <w:szCs w:val="32"/>
        </w:rPr>
        <w:t>政府交办的其他工作任务。</w:t>
      </w:r>
    </w:p>
    <w:bookmarkEnd w:id="28"/>
    <w:bookmarkEnd w:id="29"/>
    <w:p w14:paraId="5BB4B627">
      <w:pPr>
        <w:pStyle w:val="4"/>
        <w:numPr>
          <w:ilvl w:val="0"/>
          <w:numId w:val="0"/>
        </w:numPr>
        <w:rPr>
          <w:rFonts w:hint="eastAsia" w:ascii="黑体" w:hAnsi="黑体" w:eastAsia="黑体"/>
          <w:b w:val="0"/>
          <w:color w:val="auto"/>
          <w:highlight w:val="none"/>
          <w:lang w:val="en-US" w:eastAsia="zh-CN"/>
        </w:rPr>
      </w:pPr>
      <w:bookmarkStart w:id="30" w:name="_Toc21464"/>
      <w:bookmarkStart w:id="31" w:name="_Toc15396601"/>
      <w:bookmarkStart w:id="32" w:name="_Toc15377200"/>
      <w:r>
        <w:rPr>
          <w:rFonts w:hint="eastAsia" w:ascii="黑体" w:hAnsi="黑体" w:eastAsia="黑体"/>
          <w:b w:val="0"/>
          <w:color w:val="auto"/>
          <w:highlight w:val="none"/>
          <w:lang w:val="en-US" w:eastAsia="zh-CN"/>
        </w:rPr>
        <w:t>二、机构设置</w:t>
      </w:r>
      <w:bookmarkEnd w:id="30"/>
      <w:bookmarkEnd w:id="31"/>
      <w:bookmarkEnd w:id="32"/>
    </w:p>
    <w:p w14:paraId="7E7D782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北固镇人民政府</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级</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，单位机构数</w:t>
      </w:r>
      <w:r>
        <w:rPr>
          <w:rFonts w:hint="eastAsia" w:ascii="仿宋_GB2312" w:hAnsi="仿宋_GB2312" w:eastAsia="仿宋_GB2312" w:cs="仿宋_GB2312"/>
          <w:color w:val="auto"/>
          <w:sz w:val="32"/>
          <w:szCs w:val="32"/>
          <w:lang w:val="en-US" w:eastAsia="zh-CN"/>
        </w:rPr>
        <w:t>5个,其中行政机构1个（镇政府），直属公益一类事业单位3个（农业综合服务中心、宣传文化中心、便民服务中心），上级外派机构1个（食药所）。现有在职人员41人，其中行政人员25人，工勤人员2人，事业人员14人；退休人员19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公务用车。</w:t>
      </w:r>
      <w:r>
        <w:rPr>
          <w:rFonts w:hint="eastAsia" w:ascii="仿宋_GB2312" w:hAnsi="仿宋_GB2312" w:eastAsia="仿宋_GB2312" w:cs="仿宋_GB2312"/>
          <w:color w:val="auto"/>
          <w:sz w:val="32"/>
          <w:szCs w:val="32"/>
          <w:lang w:val="en-US" w:eastAsia="zh-CN"/>
        </w:rPr>
        <w:t>现有执法机动车2辆，执法电动车1辆。</w:t>
      </w:r>
    </w:p>
    <w:p w14:paraId="2F047D6F">
      <w:pPr>
        <w:pStyle w:val="2"/>
        <w:ind w:firstLine="640"/>
        <w:rPr>
          <w:rFonts w:hint="eastAsia"/>
        </w:rPr>
      </w:pPr>
    </w:p>
    <w:p w14:paraId="6A0904EE">
      <w:pPr>
        <w:widowControl/>
        <w:jc w:val="left"/>
        <w:rPr>
          <w:rFonts w:ascii="仿宋" w:hAnsi="仿宋" w:eastAsia="仿宋"/>
          <w:color w:val="auto"/>
          <w:kern w:val="0"/>
          <w:sz w:val="32"/>
          <w:szCs w:val="32"/>
          <w:highlight w:val="none"/>
        </w:rPr>
      </w:pPr>
    </w:p>
    <w:p w14:paraId="69A69AC2">
      <w:pPr>
        <w:pStyle w:val="3"/>
        <w:ind w:right="440"/>
        <w:jc w:val="center"/>
        <w:rPr>
          <w:rStyle w:val="24"/>
          <w:rFonts w:ascii="黑体" w:hAnsi="黑体" w:eastAsia="黑体"/>
          <w:b w:val="0"/>
          <w:bCs/>
          <w:color w:val="auto"/>
          <w:highlight w:val="none"/>
        </w:rPr>
      </w:pPr>
      <w:bookmarkStart w:id="33" w:name="_Toc1200"/>
      <w:bookmarkStart w:id="34" w:name="_Toc15396602"/>
      <w:bookmarkStart w:id="3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33"/>
      <w:bookmarkEnd w:id="34"/>
      <w:bookmarkEnd w:id="35"/>
    </w:p>
    <w:p w14:paraId="24316C06">
      <w:pPr>
        <w:rPr>
          <w:color w:val="auto"/>
          <w:highlight w:val="none"/>
        </w:rPr>
      </w:pPr>
    </w:p>
    <w:p w14:paraId="323F01CA">
      <w:pPr>
        <w:pStyle w:val="23"/>
        <w:numPr>
          <w:ilvl w:val="0"/>
          <w:numId w:val="1"/>
        </w:numPr>
        <w:spacing w:line="600" w:lineRule="exact"/>
        <w:ind w:firstLineChars="0"/>
        <w:outlineLvl w:val="1"/>
        <w:rPr>
          <w:rStyle w:val="25"/>
          <w:rFonts w:ascii="黑体" w:hAnsi="黑体" w:eastAsia="黑体"/>
          <w:b w:val="0"/>
          <w:color w:val="auto"/>
          <w:highlight w:val="none"/>
        </w:rPr>
      </w:pPr>
      <w:bookmarkStart w:id="36" w:name="_Toc15396603"/>
      <w:bookmarkStart w:id="37" w:name="_Toc16610"/>
      <w:bookmarkStart w:id="38"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36"/>
      <w:bookmarkEnd w:id="37"/>
      <w:bookmarkEnd w:id="38"/>
    </w:p>
    <w:p w14:paraId="4DCCA48F">
      <w:pPr>
        <w:spacing w:line="600" w:lineRule="exact"/>
        <w:ind w:firstLine="640" w:firstLineChars="200"/>
        <w:rPr>
          <w:rFonts w:hint="eastAsia" w:ascii="仿宋" w:hAnsi="仿宋" w:eastAsia="仿宋"/>
          <w:color w:val="FF0000"/>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收入总计</w:t>
      </w:r>
      <w:r>
        <w:rPr>
          <w:rFonts w:hint="eastAsia" w:ascii="仿宋" w:hAnsi="仿宋" w:eastAsia="仿宋"/>
          <w:color w:val="auto"/>
          <w:sz w:val="32"/>
          <w:szCs w:val="32"/>
          <w:highlight w:val="none"/>
          <w:lang w:val="en-US" w:eastAsia="zh-CN"/>
        </w:rPr>
        <w:t>2432.65万元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2432.65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入总计减少</w:t>
      </w:r>
      <w:r>
        <w:rPr>
          <w:rFonts w:hint="eastAsia" w:ascii="仿宋" w:hAnsi="仿宋" w:eastAsia="仿宋"/>
          <w:color w:val="auto"/>
          <w:sz w:val="32"/>
          <w:szCs w:val="32"/>
          <w:highlight w:val="none"/>
          <w:lang w:val="en-US" w:eastAsia="zh-CN"/>
        </w:rPr>
        <w:t>71.77万元，减少2.87%</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71.77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村社区工作经费、农村公共运行维护经费等项目减少</w:t>
      </w:r>
      <w:r>
        <w:rPr>
          <w:rFonts w:hint="eastAsia" w:ascii="仿宋" w:hAnsi="仿宋" w:eastAsia="仿宋"/>
          <w:color w:val="auto"/>
          <w:sz w:val="32"/>
          <w:szCs w:val="32"/>
          <w:lang w:eastAsia="zh-CN"/>
        </w:rPr>
        <w:t>。</w:t>
      </w:r>
    </w:p>
    <w:p w14:paraId="4C3676B1">
      <w:pPr>
        <w:pStyle w:val="2"/>
        <w:jc w:val="center"/>
        <w:rPr>
          <w:color w:val="FF0000"/>
        </w:rPr>
      </w:pPr>
      <w:r>
        <w:rPr>
          <w:rFonts w:hint="eastAsia" w:eastAsia="宋体"/>
          <w:color w:val="FF0000"/>
          <w:lang w:eastAsia="zh-CN"/>
        </w:rPr>
        <w:object>
          <v:shape id="_x0000_i1025" o:spt="75" type="#_x0000_t75" style="height:248.2pt;width:343.2pt;" o:ole="t" filled="f" o:preferrelative="t" stroked="f" coordsize="21600,21600" o:gfxdata="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&#1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14:paraId="357C1A2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9D468D2">
      <w:pPr>
        <w:spacing w:line="600" w:lineRule="exact"/>
        <w:ind w:firstLine="640" w:firstLineChars="200"/>
        <w:jc w:val="left"/>
        <w:rPr>
          <w:rFonts w:ascii="仿宋_GB2312" w:eastAsia="仿宋_GB2312"/>
          <w:color w:val="FF0000"/>
          <w:sz w:val="32"/>
          <w:szCs w:val="32"/>
          <w:highlight w:val="none"/>
        </w:rPr>
      </w:pPr>
    </w:p>
    <w:p w14:paraId="0F0F2022">
      <w:pPr>
        <w:pStyle w:val="23"/>
        <w:numPr>
          <w:ilvl w:val="0"/>
          <w:numId w:val="1"/>
        </w:numPr>
        <w:spacing w:line="600" w:lineRule="exact"/>
        <w:ind w:firstLineChars="0"/>
        <w:outlineLvl w:val="1"/>
        <w:rPr>
          <w:rStyle w:val="25"/>
          <w:rFonts w:ascii="黑体" w:hAnsi="黑体" w:eastAsia="黑体"/>
          <w:b w:val="0"/>
          <w:color w:val="auto"/>
          <w:highlight w:val="none"/>
        </w:rPr>
      </w:pPr>
      <w:bookmarkStart w:id="39" w:name="_Toc15396604"/>
      <w:bookmarkStart w:id="40" w:name="_Toc2062"/>
      <w:bookmarkStart w:id="4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9"/>
      <w:bookmarkEnd w:id="40"/>
      <w:bookmarkEnd w:id="41"/>
    </w:p>
    <w:p w14:paraId="480C7055">
      <w:pPr>
        <w:spacing w:line="600" w:lineRule="exact"/>
        <w:ind w:firstLine="640" w:firstLineChars="200"/>
        <w:outlineLvl w:val="1"/>
        <w:rPr>
          <w:rFonts w:ascii="仿宋" w:hAnsi="仿宋" w:eastAsia="仿宋"/>
          <w:color w:val="auto"/>
          <w:sz w:val="32"/>
          <w:szCs w:val="32"/>
          <w:highlight w:val="none"/>
        </w:rPr>
      </w:pPr>
      <w:bookmarkStart w:id="42" w:name="_Toc7547"/>
      <w:bookmarkStart w:id="43" w:name="_Toc18327"/>
      <w:bookmarkStart w:id="44" w:name="_Toc18285"/>
      <w:bookmarkStart w:id="45" w:name="_Toc2846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2431.86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2245.28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92.33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185.4万元，占7.62%；</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2"/>
      <w:bookmarkEnd w:id="43"/>
      <w:bookmarkEnd w:id="44"/>
      <w:bookmarkEnd w:id="45"/>
    </w:p>
    <w:p w14:paraId="1FE9DF9E">
      <w:pPr>
        <w:spacing w:line="600" w:lineRule="exact"/>
        <w:ind w:firstLine="643" w:firstLineChars="200"/>
        <w:outlineLvl w:val="1"/>
        <w:rPr>
          <w:rFonts w:ascii="仿宋" w:hAnsi="仿宋" w:eastAsia="仿宋"/>
          <w:b/>
          <w:color w:val="auto"/>
          <w:sz w:val="32"/>
          <w:szCs w:val="32"/>
          <w:highlight w:val="none"/>
        </w:rPr>
      </w:pPr>
      <w:bookmarkStart w:id="46" w:name="_Toc29209"/>
      <w:bookmarkStart w:id="47" w:name="_Toc29480"/>
      <w:bookmarkStart w:id="48" w:name="_Toc30802"/>
      <w:bookmarkStart w:id="49" w:name="_Toc29189"/>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bookmarkEnd w:id="46"/>
      <w:bookmarkEnd w:id="47"/>
      <w:bookmarkEnd w:id="48"/>
      <w:bookmarkEnd w:id="49"/>
    </w:p>
    <w:p w14:paraId="4F07369B">
      <w:pPr>
        <w:pStyle w:val="2"/>
        <w:jc w:val="center"/>
        <w:rPr>
          <w:rFonts w:hint="eastAsia" w:ascii="仿宋" w:hAnsi="仿宋" w:eastAsia="仿宋"/>
          <w:b/>
          <w:color w:val="FF0000"/>
          <w:sz w:val="32"/>
          <w:szCs w:val="32"/>
          <w:highlight w:val="none"/>
        </w:rPr>
      </w:pPr>
      <w:r>
        <w:rPr>
          <w:rFonts w:hint="eastAsia" w:eastAsiaTheme="minorEastAsia"/>
          <w:color w:val="FF0000"/>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B657F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64AF06A4">
      <w:pPr>
        <w:spacing w:line="600" w:lineRule="exact"/>
        <w:ind w:firstLine="640" w:firstLineChars="200"/>
        <w:rPr>
          <w:rFonts w:ascii="仿宋_GB2312" w:eastAsia="仿宋_GB2312"/>
          <w:color w:val="FF0000"/>
          <w:sz w:val="32"/>
          <w:szCs w:val="32"/>
          <w:highlight w:val="none"/>
        </w:rPr>
      </w:pPr>
    </w:p>
    <w:p w14:paraId="4F0068A1">
      <w:pPr>
        <w:pStyle w:val="23"/>
        <w:numPr>
          <w:ilvl w:val="0"/>
          <w:numId w:val="1"/>
        </w:numPr>
        <w:spacing w:line="600" w:lineRule="exact"/>
        <w:ind w:firstLineChars="0"/>
        <w:outlineLvl w:val="1"/>
        <w:rPr>
          <w:rStyle w:val="25"/>
          <w:rFonts w:ascii="黑体" w:hAnsi="黑体" w:eastAsia="黑体"/>
          <w:b w:val="0"/>
          <w:color w:val="auto"/>
          <w:highlight w:val="none"/>
        </w:rPr>
      </w:pPr>
      <w:bookmarkStart w:id="50" w:name="_Toc15377207"/>
      <w:bookmarkStart w:id="51" w:name="_Toc15396605"/>
      <w:bookmarkStart w:id="52" w:name="_Toc369"/>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50"/>
      <w:bookmarkEnd w:id="51"/>
      <w:bookmarkEnd w:id="52"/>
    </w:p>
    <w:p w14:paraId="5709CCA9">
      <w:pPr>
        <w:spacing w:line="600" w:lineRule="exact"/>
        <w:ind w:firstLine="640" w:firstLineChars="200"/>
        <w:outlineLvl w:val="1"/>
        <w:rPr>
          <w:rFonts w:hint="eastAsia" w:ascii="仿宋" w:hAnsi="仿宋" w:eastAsia="仿宋"/>
          <w:color w:val="auto"/>
          <w:sz w:val="32"/>
          <w:szCs w:val="32"/>
          <w:highlight w:val="none"/>
          <w:lang w:eastAsia="zh-CN"/>
        </w:rPr>
      </w:pPr>
      <w:bookmarkStart w:id="53" w:name="_Toc9702"/>
      <w:bookmarkStart w:id="54" w:name="_Toc12111"/>
      <w:bookmarkStart w:id="55" w:name="_Toc2115"/>
      <w:bookmarkStart w:id="56" w:name="_Toc2003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2430.68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1621.68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66.72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53"/>
      <w:bookmarkEnd w:id="54"/>
      <w:bookmarkEnd w:id="55"/>
      <w:bookmarkEnd w:id="56"/>
    </w:p>
    <w:p w14:paraId="6E390A88">
      <w:pPr>
        <w:spacing w:line="600" w:lineRule="exact"/>
        <w:ind w:firstLine="643" w:firstLineChars="200"/>
        <w:outlineLvl w:val="1"/>
        <w:rPr>
          <w:rFonts w:ascii="仿宋" w:hAnsi="仿宋" w:eastAsia="仿宋"/>
          <w:b/>
          <w:color w:val="auto"/>
          <w:sz w:val="32"/>
          <w:szCs w:val="32"/>
          <w:highlight w:val="none"/>
        </w:rPr>
      </w:pPr>
      <w:bookmarkStart w:id="57" w:name="_Toc14482"/>
      <w:bookmarkStart w:id="58" w:name="_Toc8506"/>
      <w:bookmarkStart w:id="59" w:name="_Toc3860"/>
      <w:bookmarkStart w:id="60" w:name="_Toc27752"/>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bookmarkEnd w:id="57"/>
      <w:bookmarkEnd w:id="58"/>
      <w:bookmarkEnd w:id="59"/>
      <w:bookmarkEnd w:id="60"/>
    </w:p>
    <w:p w14:paraId="073993F4">
      <w:pPr>
        <w:spacing w:line="600" w:lineRule="exact"/>
        <w:ind w:firstLine="640"/>
        <w:rPr>
          <w:rFonts w:ascii="仿宋" w:hAnsi="仿宋" w:eastAsia="仿宋"/>
          <w:color w:val="FF0000"/>
          <w:sz w:val="32"/>
          <w:szCs w:val="32"/>
          <w:highlight w:val="none"/>
          <w:shd w:val="pct10" w:color="auto" w:fill="FFFFFF"/>
        </w:rPr>
      </w:pPr>
    </w:p>
    <w:p w14:paraId="52DD5EEC">
      <w:pPr>
        <w:pStyle w:val="2"/>
        <w:rPr>
          <w:rFonts w:ascii="仿宋" w:hAnsi="仿宋" w:eastAsia="仿宋"/>
          <w:color w:val="FF0000"/>
          <w:sz w:val="32"/>
          <w:szCs w:val="32"/>
          <w:highlight w:val="none"/>
          <w:shd w:val="pct10" w:color="auto" w:fill="FFFFFF"/>
        </w:rPr>
      </w:pPr>
    </w:p>
    <w:p w14:paraId="399F1717">
      <w:pPr>
        <w:pStyle w:val="2"/>
        <w:jc w:val="center"/>
        <w:rPr>
          <w:rFonts w:ascii="仿宋" w:hAnsi="仿宋" w:eastAsia="仿宋"/>
          <w:color w:val="FF0000"/>
          <w:sz w:val="32"/>
          <w:szCs w:val="32"/>
          <w:highlight w:val="none"/>
          <w:shd w:val="pct10" w:color="auto" w:fill="FFFFFF"/>
        </w:rPr>
      </w:pPr>
      <w:r>
        <w:rPr>
          <w:rFonts w:hint="eastAsia" w:eastAsiaTheme="minorEastAsia"/>
          <w:color w:val="FF0000"/>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3098F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3D3F8E3A">
      <w:pPr>
        <w:spacing w:line="600" w:lineRule="exact"/>
        <w:ind w:firstLine="640" w:firstLineChars="200"/>
        <w:rPr>
          <w:rFonts w:ascii="仿宋_GB2312" w:eastAsia="仿宋_GB2312"/>
          <w:color w:val="FF0000"/>
          <w:sz w:val="32"/>
          <w:szCs w:val="32"/>
          <w:highlight w:val="none"/>
        </w:rPr>
      </w:pPr>
    </w:p>
    <w:p w14:paraId="0439A884">
      <w:pPr>
        <w:spacing w:line="600" w:lineRule="exact"/>
        <w:ind w:firstLine="640" w:firstLineChars="200"/>
        <w:outlineLvl w:val="1"/>
        <w:rPr>
          <w:rStyle w:val="25"/>
          <w:rFonts w:ascii="黑体" w:hAnsi="黑体" w:eastAsia="黑体"/>
          <w:b w:val="0"/>
          <w:color w:val="auto"/>
          <w:highlight w:val="none"/>
        </w:rPr>
      </w:pPr>
      <w:bookmarkStart w:id="61" w:name="_Toc15377208"/>
      <w:bookmarkStart w:id="62" w:name="_Toc20630"/>
      <w:bookmarkStart w:id="63"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61"/>
      <w:bookmarkEnd w:id="62"/>
      <w:bookmarkEnd w:id="63"/>
    </w:p>
    <w:p w14:paraId="43B28393">
      <w:pPr>
        <w:spacing w:line="600" w:lineRule="exact"/>
        <w:ind w:firstLine="640" w:firstLineChars="200"/>
        <w:rPr>
          <w:rFonts w:hint="eastAsia" w:ascii="仿宋" w:hAnsi="仿宋" w:eastAsia="仿宋"/>
          <w:color w:val="FF0000"/>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rPr>
        <w:t>年财政拨款</w:t>
      </w:r>
      <w:r>
        <w:rPr>
          <w:rFonts w:hint="eastAsia" w:ascii="仿宋" w:hAnsi="仿宋" w:eastAsia="仿宋" w:cs="仿宋"/>
          <w:color w:val="auto"/>
          <w:sz w:val="32"/>
          <w:szCs w:val="32"/>
        </w:rPr>
        <w:t>收</w:t>
      </w:r>
      <w:r>
        <w:rPr>
          <w:rFonts w:hint="eastAsia" w:ascii="仿宋" w:hAnsi="仿宋" w:eastAsia="仿宋" w:cs="仿宋"/>
          <w:color w:val="auto"/>
          <w:sz w:val="32"/>
          <w:szCs w:val="32"/>
          <w:lang w:eastAsia="zh-CN"/>
        </w:rPr>
        <w:t>入总计</w:t>
      </w:r>
      <w:r>
        <w:rPr>
          <w:rFonts w:hint="eastAsia" w:ascii="仿宋" w:hAnsi="仿宋" w:eastAsia="仿宋" w:cs="仿宋"/>
          <w:color w:val="auto"/>
          <w:sz w:val="32"/>
          <w:szCs w:val="32"/>
          <w:lang w:val="en-US" w:eastAsia="zh-CN"/>
        </w:rPr>
        <w:t>2430.68万元，支出总计2430.68万元</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s="仿宋"/>
          <w:color w:val="auto"/>
          <w:sz w:val="32"/>
          <w:szCs w:val="32"/>
        </w:rPr>
        <w:t>财政拨款收</w:t>
      </w:r>
      <w:r>
        <w:rPr>
          <w:rFonts w:hint="eastAsia" w:ascii="仿宋" w:hAnsi="仿宋" w:eastAsia="仿宋" w:cs="仿宋"/>
          <w:color w:val="auto"/>
          <w:sz w:val="32"/>
          <w:szCs w:val="32"/>
          <w:lang w:eastAsia="zh-CN"/>
        </w:rPr>
        <w:t>入</w:t>
      </w:r>
      <w:r>
        <w:rPr>
          <w:rFonts w:hint="eastAsia" w:ascii="仿宋" w:hAnsi="仿宋" w:eastAsia="仿宋" w:cs="仿宋"/>
          <w:color w:val="auto"/>
          <w:sz w:val="32"/>
          <w:szCs w:val="32"/>
        </w:rPr>
        <w:t>总计</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72.95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2.91%，</w:t>
      </w:r>
      <w:r>
        <w:rPr>
          <w:rFonts w:hint="eastAsia" w:ascii="仿宋" w:hAnsi="仿宋" w:eastAsia="仿宋" w:cs="仿宋"/>
          <w:color w:val="auto"/>
          <w:sz w:val="32"/>
          <w:szCs w:val="32"/>
          <w:lang w:eastAsia="zh-CN"/>
        </w:rPr>
        <w:t>支出总计减少</w:t>
      </w:r>
      <w:r>
        <w:rPr>
          <w:rFonts w:hint="eastAsia" w:ascii="仿宋" w:hAnsi="仿宋" w:eastAsia="仿宋" w:cs="仿宋"/>
          <w:color w:val="auto"/>
          <w:sz w:val="32"/>
          <w:szCs w:val="32"/>
          <w:lang w:val="en-US" w:eastAsia="zh-CN"/>
        </w:rPr>
        <w:t>72.95</w:t>
      </w:r>
      <w:r>
        <w:rPr>
          <w:rFonts w:hint="eastAsia" w:ascii="仿宋" w:hAnsi="仿宋" w:eastAsia="仿宋" w:cs="仿宋"/>
          <w:color w:val="auto"/>
          <w:sz w:val="32"/>
          <w:szCs w:val="32"/>
          <w:lang w:eastAsia="zh-CN"/>
        </w:rPr>
        <w:t>万元，减少</w:t>
      </w:r>
      <w:r>
        <w:rPr>
          <w:rFonts w:hint="eastAsia" w:ascii="仿宋" w:hAnsi="仿宋" w:eastAsia="仿宋" w:cs="仿宋"/>
          <w:color w:val="auto"/>
          <w:sz w:val="32"/>
          <w:szCs w:val="32"/>
          <w:lang w:val="en-US" w:eastAsia="zh-CN"/>
        </w:rPr>
        <w:t>2.91%</w:t>
      </w:r>
      <w:r>
        <w:rPr>
          <w:rFonts w:hint="eastAsia" w:ascii="仿宋" w:hAnsi="仿宋" w:eastAsia="仿宋" w:cs="仿宋"/>
          <w:color w:val="auto"/>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村社区工作经费、农村公共运行维护经费等项目减少</w:t>
      </w:r>
      <w:r>
        <w:rPr>
          <w:rFonts w:hint="eastAsia" w:ascii="仿宋" w:hAnsi="仿宋" w:eastAsia="仿宋"/>
          <w:color w:val="auto"/>
          <w:sz w:val="32"/>
          <w:szCs w:val="32"/>
          <w:lang w:eastAsia="zh-CN"/>
        </w:rPr>
        <w:t>。</w:t>
      </w:r>
    </w:p>
    <w:p w14:paraId="7BDB605E">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25423A89">
      <w:pPr>
        <w:spacing w:line="600" w:lineRule="exact"/>
        <w:rPr>
          <w:rFonts w:ascii="仿宋" w:hAnsi="仿宋" w:eastAsia="仿宋"/>
          <w:color w:val="FF0000"/>
          <w:sz w:val="32"/>
          <w:szCs w:val="32"/>
          <w:highlight w:val="none"/>
        </w:rPr>
      </w:pPr>
    </w:p>
    <w:p w14:paraId="0E206717">
      <w:pPr>
        <w:pStyle w:val="2"/>
        <w:rPr>
          <w:rFonts w:ascii="仿宋" w:hAnsi="仿宋" w:eastAsia="仿宋"/>
          <w:color w:val="FF0000"/>
          <w:sz w:val="32"/>
          <w:szCs w:val="32"/>
          <w:highlight w:val="none"/>
        </w:rPr>
      </w:pPr>
    </w:p>
    <w:p w14:paraId="1C73B06E">
      <w:pPr>
        <w:pStyle w:val="2"/>
        <w:rPr>
          <w:rFonts w:ascii="仿宋" w:hAnsi="仿宋" w:eastAsia="仿宋"/>
          <w:color w:val="FF0000"/>
          <w:sz w:val="32"/>
          <w:szCs w:val="32"/>
          <w:highlight w:val="none"/>
        </w:rPr>
      </w:pPr>
    </w:p>
    <w:p w14:paraId="2EE82B8D">
      <w:pPr>
        <w:pStyle w:val="2"/>
        <w:jc w:val="center"/>
        <w:rPr>
          <w:rFonts w:ascii="仿宋" w:hAnsi="仿宋" w:eastAsia="仿宋"/>
          <w:color w:val="FF0000"/>
          <w:sz w:val="32"/>
          <w:szCs w:val="32"/>
          <w:highlight w:val="none"/>
        </w:rPr>
      </w:pPr>
      <w:r>
        <w:rPr>
          <w:rFonts w:hint="eastAsia" w:eastAsiaTheme="minorEastAsia"/>
          <w:color w:val="FF0000"/>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13FA0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0F6099E4">
      <w:pPr>
        <w:spacing w:line="600" w:lineRule="exact"/>
        <w:ind w:firstLine="640"/>
        <w:rPr>
          <w:rFonts w:ascii="仿宋" w:hAnsi="仿宋" w:eastAsia="仿宋"/>
          <w:b/>
          <w:color w:val="FF0000"/>
          <w:sz w:val="32"/>
          <w:szCs w:val="32"/>
          <w:highlight w:val="none"/>
        </w:rPr>
      </w:pPr>
    </w:p>
    <w:p w14:paraId="63AC1CC9">
      <w:pPr>
        <w:spacing w:line="600" w:lineRule="exact"/>
        <w:ind w:firstLine="640" w:firstLineChars="200"/>
        <w:outlineLvl w:val="1"/>
        <w:rPr>
          <w:rStyle w:val="25"/>
          <w:rFonts w:ascii="黑体" w:hAnsi="黑体" w:eastAsia="黑体"/>
          <w:b w:val="0"/>
          <w:color w:val="auto"/>
          <w:highlight w:val="none"/>
        </w:rPr>
      </w:pPr>
      <w:bookmarkStart w:id="64" w:name="_Toc15396607"/>
      <w:bookmarkStart w:id="65" w:name="_Toc15377209"/>
      <w:bookmarkStart w:id="66" w:name="_Toc1712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64"/>
      <w:bookmarkEnd w:id="65"/>
      <w:bookmarkEnd w:id="66"/>
    </w:p>
    <w:p w14:paraId="6256B6F1">
      <w:pPr>
        <w:spacing w:line="600" w:lineRule="exact"/>
        <w:ind w:firstLine="643" w:firstLineChars="200"/>
        <w:outlineLvl w:val="2"/>
        <w:rPr>
          <w:rFonts w:ascii="仿宋" w:hAnsi="仿宋" w:eastAsia="仿宋"/>
          <w:b/>
          <w:color w:val="auto"/>
          <w:sz w:val="32"/>
          <w:szCs w:val="32"/>
          <w:highlight w:val="none"/>
        </w:rPr>
      </w:pPr>
      <w:bookmarkStart w:id="67" w:name="_Toc15377210"/>
      <w:r>
        <w:rPr>
          <w:rFonts w:hint="eastAsia" w:ascii="仿宋" w:hAnsi="仿宋" w:eastAsia="仿宋"/>
          <w:b/>
          <w:color w:val="auto"/>
          <w:sz w:val="32"/>
          <w:szCs w:val="32"/>
          <w:highlight w:val="none"/>
        </w:rPr>
        <w:t>（一）一般公共预算财政拨款支出决算总体情况</w:t>
      </w:r>
      <w:bookmarkEnd w:id="67"/>
    </w:p>
    <w:p w14:paraId="73C78D09">
      <w:pPr>
        <w:spacing w:line="600" w:lineRule="exact"/>
        <w:ind w:firstLine="640" w:firstLineChars="200"/>
        <w:rPr>
          <w:rFonts w:hint="eastAsia" w:ascii="仿宋" w:hAnsi="仿宋" w:eastAsia="仿宋"/>
          <w:color w:val="FF0000"/>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2245.28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92.37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258.35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10.32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村社区工作经费、农村公共运行维护经费等项目减少</w:t>
      </w:r>
      <w:r>
        <w:rPr>
          <w:rFonts w:hint="eastAsia" w:ascii="仿宋" w:hAnsi="仿宋" w:eastAsia="仿宋"/>
          <w:color w:val="auto"/>
          <w:sz w:val="32"/>
          <w:szCs w:val="32"/>
          <w:lang w:eastAsia="zh-CN"/>
        </w:rPr>
        <w:t>。</w:t>
      </w:r>
    </w:p>
    <w:p w14:paraId="6C8073A4">
      <w:pPr>
        <w:spacing w:line="600" w:lineRule="exact"/>
        <w:ind w:firstLine="640" w:firstLineChars="200"/>
        <w:rPr>
          <w:rFonts w:ascii="仿宋" w:hAnsi="仿宋" w:eastAsia="仿宋"/>
          <w:color w:val="FF0000"/>
          <w:sz w:val="32"/>
          <w:szCs w:val="32"/>
          <w:highlight w:val="none"/>
        </w:rPr>
      </w:pPr>
    </w:p>
    <w:p w14:paraId="2D3DB45E">
      <w:pPr>
        <w:pStyle w:val="2"/>
        <w:rPr>
          <w:rFonts w:ascii="仿宋" w:hAnsi="仿宋" w:eastAsia="仿宋"/>
          <w:color w:val="FF0000"/>
          <w:sz w:val="32"/>
          <w:szCs w:val="32"/>
          <w:highlight w:val="none"/>
        </w:rPr>
      </w:pPr>
    </w:p>
    <w:p w14:paraId="76DFEFAD">
      <w:pPr>
        <w:pStyle w:val="2"/>
        <w:rPr>
          <w:rFonts w:ascii="仿宋" w:hAnsi="仿宋" w:eastAsia="仿宋"/>
          <w:color w:val="FF0000"/>
          <w:sz w:val="32"/>
          <w:szCs w:val="32"/>
          <w:highlight w:val="none"/>
        </w:rPr>
      </w:pPr>
    </w:p>
    <w:p w14:paraId="0F42005C">
      <w:pPr>
        <w:pStyle w:val="2"/>
        <w:rPr>
          <w:rFonts w:ascii="仿宋" w:hAnsi="仿宋" w:eastAsia="仿宋"/>
          <w:color w:val="FF0000"/>
          <w:sz w:val="32"/>
          <w:szCs w:val="32"/>
          <w:highlight w:val="none"/>
        </w:rPr>
      </w:pPr>
      <w:r>
        <w:rPr>
          <w:rFonts w:hint="eastAsia" w:eastAsiaTheme="minorEastAsia"/>
          <w:color w:val="FF0000"/>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96E2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2CD178FD">
      <w:pPr>
        <w:spacing w:line="600" w:lineRule="exact"/>
        <w:ind w:firstLine="640" w:firstLineChars="200"/>
        <w:rPr>
          <w:rFonts w:ascii="仿宋" w:hAnsi="仿宋" w:eastAsia="仿宋"/>
          <w:color w:val="FF0000"/>
          <w:sz w:val="32"/>
          <w:szCs w:val="32"/>
          <w:highlight w:val="none"/>
        </w:rPr>
      </w:pPr>
    </w:p>
    <w:p w14:paraId="160AE311">
      <w:pPr>
        <w:spacing w:line="600" w:lineRule="exact"/>
        <w:ind w:firstLine="643" w:firstLineChars="200"/>
        <w:outlineLvl w:val="2"/>
        <w:rPr>
          <w:rFonts w:ascii="仿宋" w:hAnsi="仿宋" w:eastAsia="仿宋"/>
          <w:b/>
          <w:color w:val="auto"/>
          <w:sz w:val="32"/>
          <w:szCs w:val="32"/>
          <w:highlight w:val="none"/>
        </w:rPr>
      </w:pPr>
      <w:bookmarkStart w:id="68" w:name="_Toc15377211"/>
      <w:r>
        <w:rPr>
          <w:rFonts w:hint="eastAsia" w:ascii="仿宋" w:hAnsi="仿宋" w:eastAsia="仿宋"/>
          <w:b/>
          <w:color w:val="auto"/>
          <w:sz w:val="32"/>
          <w:szCs w:val="32"/>
          <w:highlight w:val="none"/>
        </w:rPr>
        <w:t>（二）一般公共预算财政拨款支出决算结构情况</w:t>
      </w:r>
      <w:bookmarkEnd w:id="68"/>
    </w:p>
    <w:p w14:paraId="30987728">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2245.28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718.16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val="0"/>
          <w:bCs w:val="0"/>
          <w:color w:val="auto"/>
          <w:sz w:val="32"/>
          <w:szCs w:val="32"/>
          <w:highlight w:val="none"/>
          <w:lang w:val="en-US" w:eastAsia="zh-CN"/>
        </w:rPr>
        <w:t>32.13</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1.43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167.65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255.24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仿宋"/>
          <w:b/>
          <w:bCs/>
          <w:color w:val="auto"/>
          <w:sz w:val="30"/>
          <w:szCs w:val="30"/>
          <w:lang w:eastAsia="zh-CN"/>
        </w:rPr>
        <w:t>节能环保支出</w:t>
      </w:r>
      <w:r>
        <w:rPr>
          <w:rFonts w:hint="eastAsia" w:ascii="仿宋" w:hAnsi="仿宋" w:eastAsia="仿宋" w:cs="仿宋"/>
          <w:color w:val="auto"/>
          <w:sz w:val="30"/>
          <w:szCs w:val="30"/>
          <w:lang w:val="en-US" w:eastAsia="zh-CN"/>
        </w:rPr>
        <w:t>53.91万元，占2.4%；</w:t>
      </w:r>
      <w:r>
        <w:rPr>
          <w:rFonts w:hint="eastAsia" w:ascii="仿宋" w:hAnsi="仿宋" w:eastAsia="仿宋" w:cs="仿宋"/>
          <w:b/>
          <w:bCs/>
          <w:color w:val="auto"/>
          <w:sz w:val="30"/>
          <w:szCs w:val="30"/>
          <w:lang w:val="en-US" w:eastAsia="zh-CN"/>
        </w:rPr>
        <w:t>城乡社区支出</w:t>
      </w:r>
      <w:r>
        <w:rPr>
          <w:rFonts w:hint="eastAsia" w:ascii="仿宋" w:hAnsi="仿宋" w:eastAsia="仿宋" w:cs="仿宋"/>
          <w:color w:val="auto"/>
          <w:sz w:val="30"/>
          <w:szCs w:val="30"/>
          <w:lang w:val="en-US" w:eastAsia="zh-CN"/>
        </w:rPr>
        <w:t>519.76万元，占23.15%；</w:t>
      </w:r>
      <w:r>
        <w:rPr>
          <w:rFonts w:hint="eastAsia" w:ascii="仿宋" w:hAnsi="仿宋" w:eastAsia="仿宋" w:cs="仿宋"/>
          <w:b/>
          <w:bCs/>
          <w:color w:val="auto"/>
          <w:sz w:val="30"/>
          <w:szCs w:val="30"/>
          <w:lang w:val="en-US" w:eastAsia="zh-CN"/>
        </w:rPr>
        <w:t>农林水支出</w:t>
      </w:r>
      <w:r>
        <w:rPr>
          <w:rFonts w:hint="eastAsia" w:ascii="仿宋" w:hAnsi="仿宋" w:eastAsia="仿宋" w:cs="仿宋"/>
          <w:color w:val="auto"/>
          <w:sz w:val="30"/>
          <w:szCs w:val="30"/>
          <w:lang w:val="en-US" w:eastAsia="zh-CN"/>
        </w:rPr>
        <w:t>414.81万元，占18.47%；</w:t>
      </w:r>
      <w:r>
        <w:rPr>
          <w:rFonts w:hint="eastAsia" w:ascii="仿宋" w:hAnsi="仿宋" w:eastAsia="仿宋" w:cs="仿宋"/>
          <w:b/>
          <w:bCs/>
          <w:color w:val="auto"/>
          <w:sz w:val="30"/>
          <w:szCs w:val="30"/>
          <w:lang w:val="en-US" w:eastAsia="zh-CN"/>
        </w:rPr>
        <w:t>交通运输支出</w:t>
      </w:r>
      <w:r>
        <w:rPr>
          <w:rFonts w:hint="eastAsia" w:ascii="仿宋" w:hAnsi="仿宋" w:eastAsia="仿宋" w:cs="仿宋"/>
          <w:color w:val="auto"/>
          <w:sz w:val="30"/>
          <w:szCs w:val="30"/>
          <w:lang w:val="en-US" w:eastAsia="zh-CN"/>
        </w:rPr>
        <w:t>10.1万元，占0.45%；</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56.33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灾害防治及应急管理支出</w:t>
      </w:r>
      <w:r>
        <w:rPr>
          <w:rFonts w:hint="eastAsia" w:ascii="仿宋" w:hAnsi="仿宋" w:eastAsia="仿宋"/>
          <w:color w:val="auto"/>
          <w:sz w:val="32"/>
          <w:szCs w:val="32"/>
          <w:highlight w:val="none"/>
          <w:lang w:val="en-US" w:eastAsia="zh-CN"/>
        </w:rPr>
        <w:t>17.03万元，占0.76%</w:t>
      </w:r>
      <w:r>
        <w:rPr>
          <w:rFonts w:hint="eastAsia" w:ascii="仿宋" w:hAnsi="仿宋" w:eastAsia="仿宋"/>
          <w:color w:val="auto"/>
          <w:sz w:val="32"/>
          <w:szCs w:val="32"/>
          <w:highlight w:val="none"/>
        </w:rPr>
        <w:t>。</w:t>
      </w:r>
    </w:p>
    <w:p w14:paraId="3CD350EE">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4EA020D1">
      <w:pPr>
        <w:pStyle w:val="2"/>
        <w:rPr>
          <w:rFonts w:ascii="仿宋" w:hAnsi="仿宋" w:eastAsia="仿宋"/>
          <w:color w:val="FF0000"/>
          <w:sz w:val="32"/>
          <w:szCs w:val="32"/>
          <w:highlight w:val="none"/>
        </w:rPr>
      </w:pPr>
      <w:r>
        <w:rPr>
          <w:rFonts w:hint="eastAsia" w:eastAsiaTheme="minorEastAsia"/>
          <w:color w:val="FF0000"/>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109A1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04B581FE">
      <w:pPr>
        <w:spacing w:line="600" w:lineRule="exact"/>
        <w:ind w:firstLine="640" w:firstLineChars="200"/>
        <w:rPr>
          <w:rFonts w:ascii="仿宋" w:hAnsi="仿宋" w:eastAsia="仿宋"/>
          <w:color w:val="FF0000"/>
          <w:sz w:val="32"/>
          <w:szCs w:val="32"/>
          <w:highlight w:val="none"/>
        </w:rPr>
      </w:pPr>
    </w:p>
    <w:p w14:paraId="5B9250EC">
      <w:pPr>
        <w:spacing w:line="600" w:lineRule="exact"/>
        <w:ind w:firstLine="643" w:firstLineChars="200"/>
        <w:outlineLvl w:val="2"/>
        <w:rPr>
          <w:rFonts w:ascii="仿宋" w:hAnsi="仿宋" w:eastAsia="仿宋"/>
          <w:b/>
          <w:color w:val="auto"/>
          <w:sz w:val="32"/>
          <w:szCs w:val="32"/>
          <w:highlight w:val="none"/>
        </w:rPr>
      </w:pPr>
      <w:bookmarkStart w:id="69" w:name="_Toc15377212"/>
      <w:r>
        <w:rPr>
          <w:rFonts w:hint="eastAsia" w:ascii="仿宋" w:hAnsi="仿宋" w:eastAsia="仿宋"/>
          <w:b/>
          <w:color w:val="auto"/>
          <w:sz w:val="32"/>
          <w:szCs w:val="32"/>
          <w:highlight w:val="none"/>
        </w:rPr>
        <w:t>（三）一般公共预算财政拨款支出决算具体情况</w:t>
      </w:r>
      <w:bookmarkEnd w:id="69"/>
    </w:p>
    <w:p w14:paraId="126A1F10">
      <w:pPr>
        <w:spacing w:line="600" w:lineRule="exact"/>
        <w:ind w:firstLine="643" w:firstLineChars="200"/>
        <w:outlineLvl w:val="2"/>
        <w:rPr>
          <w:rFonts w:ascii="仿宋" w:hAnsi="仿宋" w:eastAsia="仿宋"/>
          <w:color w:val="auto"/>
          <w:sz w:val="32"/>
          <w:szCs w:val="32"/>
          <w:highlight w:val="none"/>
        </w:rPr>
      </w:pPr>
      <w:bookmarkStart w:id="70" w:name="_Toc15378460"/>
      <w:bookmarkStart w:id="71" w:name="_Toc15377213"/>
      <w:bookmarkStart w:id="72"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2245.28万元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70"/>
      <w:bookmarkEnd w:id="71"/>
      <w:bookmarkEnd w:id="72"/>
    </w:p>
    <w:p w14:paraId="26DB87A9">
      <w:pPr>
        <w:spacing w:line="600" w:lineRule="exact"/>
        <w:ind w:firstLine="643" w:firstLineChars="200"/>
        <w:rPr>
          <w:rStyle w:val="14"/>
          <w:rFonts w:hint="eastAsia" w:ascii="仿宋" w:hAnsi="仿宋" w:eastAsia="仿宋"/>
          <w:b w:val="0"/>
          <w:bCs/>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人大事务</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其他人大事务支出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2B8DDD32">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2.</w:t>
      </w:r>
      <w:r>
        <w:rPr>
          <w:rFonts w:hint="eastAsia" w:ascii="仿宋" w:hAnsi="仿宋" w:eastAsia="仿宋" w:cs="仿宋"/>
          <w:b/>
          <w:bCs/>
          <w:color w:val="auto"/>
          <w:kern w:val="0"/>
          <w:sz w:val="32"/>
          <w:szCs w:val="32"/>
          <w:lang w:val="en-US" w:eastAsia="zh-CN" w:bidi="ar"/>
        </w:rPr>
        <w:t>一般公共服务支出（类）政府办公厅（室）及相关机构事务（款） 行政运行（项）</w:t>
      </w:r>
      <w:r>
        <w:rPr>
          <w:rFonts w:hint="eastAsia" w:ascii="仿宋" w:hAnsi="仿宋" w:eastAsia="仿宋" w:cs="仿宋"/>
          <w:color w:val="auto"/>
          <w:kern w:val="0"/>
          <w:sz w:val="32"/>
          <w:szCs w:val="32"/>
          <w:lang w:val="en-US" w:eastAsia="zh-CN" w:bidi="ar"/>
        </w:rPr>
        <w:t>：支出决算为409.96万元，完成预算100%。</w:t>
      </w:r>
    </w:p>
    <w:p w14:paraId="751883AD">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3.</w:t>
      </w:r>
      <w:r>
        <w:rPr>
          <w:rFonts w:hint="eastAsia" w:ascii="仿宋" w:hAnsi="仿宋" w:eastAsia="仿宋" w:cs="仿宋"/>
          <w:b/>
          <w:bCs/>
          <w:color w:val="auto"/>
          <w:kern w:val="0"/>
          <w:sz w:val="32"/>
          <w:szCs w:val="32"/>
          <w:lang w:val="en-US" w:eastAsia="zh-CN" w:bidi="ar"/>
        </w:rPr>
        <w:t>一般公共服务支出（类）政府办公厅（室）及相关机构事务（款）一般行政管理事务（项）</w:t>
      </w:r>
      <w:r>
        <w:rPr>
          <w:rFonts w:hint="eastAsia" w:ascii="仿宋" w:hAnsi="仿宋" w:eastAsia="仿宋" w:cs="仿宋"/>
          <w:color w:val="auto"/>
          <w:kern w:val="0"/>
          <w:sz w:val="32"/>
          <w:szCs w:val="32"/>
          <w:lang w:val="en-US" w:eastAsia="zh-CN" w:bidi="ar"/>
        </w:rPr>
        <w:t>：支出决算数为125.19万元，完成预算100%。</w:t>
      </w:r>
    </w:p>
    <w:p w14:paraId="0E7870D5">
      <w:pPr>
        <w:numPr>
          <w:ilvl w:val="0"/>
          <w:numId w:val="0"/>
        </w:numPr>
        <w:spacing w:line="600" w:lineRule="exact"/>
        <w:ind w:firstLine="643" w:firstLineChars="200"/>
        <w:outlineLvl w:val="2"/>
        <w:rPr>
          <w:rFonts w:hint="eastAsia"/>
          <w:lang w:val="en-US" w:eastAsia="zh-CN"/>
        </w:rPr>
      </w:pPr>
      <w:r>
        <w:rPr>
          <w:rStyle w:val="14"/>
          <w:rFonts w:hint="eastAsia" w:ascii="仿宋" w:hAnsi="仿宋" w:eastAsia="仿宋" w:cstheme="minorBidi"/>
          <w:bCs/>
          <w:color w:val="auto"/>
          <w:sz w:val="32"/>
          <w:szCs w:val="32"/>
          <w:highlight w:val="none"/>
          <w:lang w:val="en-US" w:eastAsia="zh-CN"/>
        </w:rPr>
        <w:t>4.</w:t>
      </w:r>
      <w:r>
        <w:rPr>
          <w:rFonts w:hint="eastAsia" w:ascii="仿宋" w:hAnsi="仿宋" w:eastAsia="仿宋" w:cs="仿宋"/>
          <w:b/>
          <w:bCs/>
          <w:color w:val="auto"/>
          <w:kern w:val="0"/>
          <w:sz w:val="32"/>
          <w:szCs w:val="32"/>
          <w:lang w:val="en-US" w:eastAsia="zh-CN" w:bidi="ar"/>
        </w:rPr>
        <w:t>一般公共服务支出（类）政府办公厅（室）及相关机构事务（款）信访事务（项）</w:t>
      </w:r>
      <w:r>
        <w:rPr>
          <w:rFonts w:hint="eastAsia" w:ascii="仿宋" w:hAnsi="仿宋" w:eastAsia="仿宋" w:cs="仿宋"/>
          <w:color w:val="auto"/>
          <w:kern w:val="0"/>
          <w:sz w:val="32"/>
          <w:szCs w:val="32"/>
          <w:lang w:val="en-US" w:eastAsia="zh-CN" w:bidi="ar"/>
        </w:rPr>
        <w:t>：支出决算数为51.77万元，完成预算100%。</w:t>
      </w:r>
    </w:p>
    <w:p w14:paraId="3EFC7264">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5.</w:t>
      </w:r>
      <w:r>
        <w:rPr>
          <w:rFonts w:hint="eastAsia" w:ascii="仿宋" w:hAnsi="仿宋" w:eastAsia="仿宋" w:cs="仿宋"/>
          <w:b/>
          <w:bCs/>
          <w:color w:val="auto"/>
          <w:kern w:val="0"/>
          <w:sz w:val="32"/>
          <w:szCs w:val="32"/>
          <w:lang w:val="en-US" w:eastAsia="zh-CN" w:bidi="ar"/>
        </w:rPr>
        <w:t>一般公共服务支出（类）政府办公厅（室）及相关机构事务（款）事业运行（项）</w:t>
      </w:r>
      <w:r>
        <w:rPr>
          <w:rFonts w:hint="eastAsia" w:ascii="仿宋" w:hAnsi="仿宋" w:eastAsia="仿宋" w:cs="仿宋"/>
          <w:color w:val="auto"/>
          <w:kern w:val="0"/>
          <w:sz w:val="32"/>
          <w:szCs w:val="32"/>
          <w:lang w:val="en-US" w:eastAsia="zh-CN" w:bidi="ar"/>
        </w:rPr>
        <w:t>：支出决算为87.76万元，完成预算100%。</w:t>
      </w:r>
    </w:p>
    <w:p w14:paraId="56FC5FB7">
      <w:pPr>
        <w:numPr>
          <w:ilvl w:val="0"/>
          <w:numId w:val="0"/>
        </w:numPr>
        <w:spacing w:line="600" w:lineRule="exact"/>
        <w:ind w:firstLine="643" w:firstLineChars="200"/>
        <w:outlineLvl w:val="2"/>
        <w:rPr>
          <w:rFonts w:hint="eastAsia"/>
          <w:lang w:val="en-US" w:eastAsia="zh-CN"/>
        </w:rPr>
      </w:pPr>
      <w:r>
        <w:rPr>
          <w:rStyle w:val="14"/>
          <w:rFonts w:hint="eastAsia" w:ascii="仿宋" w:hAnsi="仿宋" w:eastAsia="仿宋" w:cstheme="minorBidi"/>
          <w:bCs/>
          <w:color w:val="auto"/>
          <w:sz w:val="32"/>
          <w:szCs w:val="32"/>
          <w:highlight w:val="none"/>
          <w:lang w:val="en-US" w:eastAsia="zh-CN"/>
        </w:rPr>
        <w:t>6.</w:t>
      </w:r>
      <w:r>
        <w:rPr>
          <w:rFonts w:hint="eastAsia" w:ascii="仿宋" w:hAnsi="仿宋" w:eastAsia="仿宋" w:cs="仿宋"/>
          <w:b/>
          <w:bCs/>
          <w:color w:val="auto"/>
          <w:kern w:val="0"/>
          <w:sz w:val="32"/>
          <w:szCs w:val="32"/>
          <w:lang w:val="en-US" w:eastAsia="zh-CN" w:bidi="ar"/>
        </w:rPr>
        <w:t>一般公共服务支出（类）纪检监察事务（款）一般行政管理事务（项）</w:t>
      </w:r>
      <w:r>
        <w:rPr>
          <w:rFonts w:hint="eastAsia" w:ascii="仿宋" w:hAnsi="仿宋" w:eastAsia="仿宋" w:cs="仿宋"/>
          <w:color w:val="auto"/>
          <w:kern w:val="0"/>
          <w:sz w:val="32"/>
          <w:szCs w:val="32"/>
          <w:lang w:val="en-US" w:eastAsia="zh-CN" w:bidi="ar"/>
        </w:rPr>
        <w:t>：支出决算为2.6万元，完成预算100%。</w:t>
      </w:r>
    </w:p>
    <w:p w14:paraId="2AE9D299">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7.</w:t>
      </w:r>
      <w:r>
        <w:rPr>
          <w:rFonts w:hint="eastAsia" w:ascii="仿宋" w:hAnsi="仿宋" w:eastAsia="仿宋" w:cs="仿宋"/>
          <w:b/>
          <w:bCs/>
          <w:color w:val="auto"/>
          <w:kern w:val="0"/>
          <w:sz w:val="32"/>
          <w:szCs w:val="32"/>
          <w:lang w:val="en-US" w:eastAsia="zh-CN" w:bidi="ar"/>
        </w:rPr>
        <w:t>一般公共服务支出（类）群众团体事务（款）一般行政管理事务（项）：</w:t>
      </w:r>
      <w:r>
        <w:rPr>
          <w:rFonts w:hint="eastAsia" w:ascii="仿宋" w:hAnsi="仿宋" w:eastAsia="仿宋" w:cs="仿宋"/>
          <w:color w:val="auto"/>
          <w:kern w:val="0"/>
          <w:sz w:val="32"/>
          <w:szCs w:val="32"/>
          <w:lang w:val="en-US" w:eastAsia="zh-CN" w:bidi="ar"/>
        </w:rPr>
        <w:t>支出决算为7.15万元，完成预算100%。</w:t>
      </w:r>
    </w:p>
    <w:p w14:paraId="4AB40FC1">
      <w:pPr>
        <w:numPr>
          <w:ilvl w:val="0"/>
          <w:numId w:val="0"/>
        </w:numPr>
        <w:spacing w:line="600" w:lineRule="exact"/>
        <w:ind w:firstLine="643" w:firstLineChars="200"/>
        <w:outlineLvl w:val="2"/>
        <w:rPr>
          <w:rFonts w:hint="eastAsia"/>
          <w:lang w:val="en-US" w:eastAsia="zh-CN"/>
        </w:rPr>
      </w:pPr>
      <w:r>
        <w:rPr>
          <w:rStyle w:val="14"/>
          <w:rFonts w:hint="eastAsia" w:ascii="仿宋" w:hAnsi="仿宋" w:eastAsia="仿宋" w:cstheme="minorBidi"/>
          <w:bCs/>
          <w:color w:val="auto"/>
          <w:sz w:val="32"/>
          <w:szCs w:val="32"/>
          <w:highlight w:val="none"/>
          <w:lang w:val="en-US" w:eastAsia="zh-CN"/>
        </w:rPr>
        <w:t>8.</w:t>
      </w:r>
      <w:r>
        <w:rPr>
          <w:rFonts w:hint="eastAsia" w:ascii="仿宋" w:hAnsi="仿宋" w:eastAsia="仿宋" w:cs="仿宋"/>
          <w:b/>
          <w:bCs/>
          <w:color w:val="auto"/>
          <w:kern w:val="0"/>
          <w:sz w:val="32"/>
          <w:szCs w:val="32"/>
          <w:lang w:val="en-US" w:eastAsia="zh-CN" w:bidi="ar"/>
        </w:rPr>
        <w:t>一般公共服务支出（类）群众团体事务（款）其他群众团体事务支出（项）：</w:t>
      </w:r>
      <w:r>
        <w:rPr>
          <w:rFonts w:hint="eastAsia" w:ascii="仿宋" w:hAnsi="仿宋" w:eastAsia="仿宋" w:cs="仿宋"/>
          <w:color w:val="auto"/>
          <w:kern w:val="0"/>
          <w:sz w:val="32"/>
          <w:szCs w:val="32"/>
          <w:lang w:val="en-US" w:eastAsia="zh-CN" w:bidi="ar"/>
        </w:rPr>
        <w:t>支出决算为5.25万元，完成预算100%。</w:t>
      </w:r>
    </w:p>
    <w:p w14:paraId="228E71E0">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9.</w:t>
      </w:r>
      <w:r>
        <w:rPr>
          <w:rFonts w:hint="eastAsia" w:ascii="仿宋" w:hAnsi="仿宋" w:eastAsia="仿宋" w:cs="仿宋"/>
          <w:b/>
          <w:bCs/>
          <w:color w:val="auto"/>
          <w:kern w:val="0"/>
          <w:sz w:val="32"/>
          <w:szCs w:val="32"/>
          <w:lang w:val="en-US" w:eastAsia="zh-CN" w:bidi="ar"/>
        </w:rPr>
        <w:t>一般公共服务支出（类）组织事务（款）其他组织事务支出（项）：</w:t>
      </w:r>
      <w:r>
        <w:rPr>
          <w:rFonts w:hint="eastAsia" w:ascii="仿宋" w:hAnsi="仿宋" w:eastAsia="仿宋" w:cs="仿宋"/>
          <w:color w:val="auto"/>
          <w:kern w:val="0"/>
          <w:sz w:val="32"/>
          <w:szCs w:val="32"/>
          <w:lang w:val="en-US" w:eastAsia="zh-CN" w:bidi="ar"/>
        </w:rPr>
        <w:t>支出决算为3.94万元，完成预算100%。</w:t>
      </w:r>
    </w:p>
    <w:p w14:paraId="69573268">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10.</w:t>
      </w:r>
      <w:r>
        <w:rPr>
          <w:rFonts w:hint="eastAsia" w:ascii="仿宋" w:hAnsi="仿宋" w:eastAsia="仿宋" w:cs="仿宋"/>
          <w:b/>
          <w:bCs/>
          <w:color w:val="auto"/>
          <w:kern w:val="0"/>
          <w:sz w:val="32"/>
          <w:szCs w:val="32"/>
          <w:lang w:val="en-US" w:eastAsia="zh-CN" w:bidi="ar"/>
        </w:rPr>
        <w:t>一般公共服务支出（类）市场监督管理事务（款）事业运行（项）：</w:t>
      </w:r>
      <w:r>
        <w:rPr>
          <w:rFonts w:hint="eastAsia" w:ascii="仿宋" w:hAnsi="仿宋" w:eastAsia="仿宋" w:cs="仿宋"/>
          <w:color w:val="auto"/>
          <w:kern w:val="0"/>
          <w:sz w:val="32"/>
          <w:szCs w:val="32"/>
          <w:lang w:val="en-US" w:eastAsia="zh-CN" w:bidi="ar"/>
        </w:rPr>
        <w:t>支出决算为18.7万元，完成预算100%。</w:t>
      </w:r>
    </w:p>
    <w:p w14:paraId="1AF744C0">
      <w:pPr>
        <w:numPr>
          <w:ilvl w:val="0"/>
          <w:numId w:val="0"/>
        </w:numPr>
        <w:spacing w:line="600" w:lineRule="exact"/>
        <w:ind w:firstLine="643" w:firstLineChars="200"/>
        <w:outlineLvl w:val="2"/>
        <w:rPr>
          <w:rFonts w:hint="eastAsia" w:ascii="仿宋" w:hAnsi="仿宋" w:eastAsia="仿宋" w:cs="仿宋"/>
          <w:color w:val="auto"/>
          <w:kern w:val="0"/>
          <w:sz w:val="30"/>
          <w:szCs w:val="30"/>
          <w:lang w:val="en-US" w:eastAsia="zh-CN" w:bidi="ar"/>
        </w:rPr>
      </w:pPr>
      <w:r>
        <w:rPr>
          <w:rStyle w:val="14"/>
          <w:rFonts w:hint="eastAsia" w:ascii="仿宋" w:hAnsi="仿宋" w:eastAsia="仿宋" w:cstheme="minorBidi"/>
          <w:bCs/>
          <w:color w:val="auto"/>
          <w:sz w:val="32"/>
          <w:szCs w:val="32"/>
          <w:highlight w:val="none"/>
          <w:lang w:val="en-US" w:eastAsia="zh-CN"/>
        </w:rPr>
        <w:t>11.</w:t>
      </w:r>
      <w:r>
        <w:rPr>
          <w:rFonts w:hint="eastAsia" w:ascii="仿宋" w:hAnsi="仿宋" w:eastAsia="仿宋" w:cs="仿宋"/>
          <w:b/>
          <w:bCs/>
          <w:color w:val="auto"/>
          <w:kern w:val="0"/>
          <w:sz w:val="32"/>
          <w:szCs w:val="32"/>
          <w:lang w:val="en-US" w:eastAsia="zh-CN" w:bidi="ar"/>
        </w:rPr>
        <w:t>一般公共服务支出（类）市场监督管理事务（款）其他市场监督管理事务（项）：</w:t>
      </w:r>
      <w:r>
        <w:rPr>
          <w:rFonts w:hint="eastAsia" w:ascii="仿宋" w:hAnsi="仿宋" w:eastAsia="仿宋" w:cs="仿宋"/>
          <w:color w:val="auto"/>
          <w:kern w:val="0"/>
          <w:sz w:val="32"/>
          <w:szCs w:val="32"/>
          <w:lang w:val="en-US" w:eastAsia="zh-CN" w:bidi="ar"/>
        </w:rPr>
        <w:t>支出决算为4.03万元，完成预算100%。</w:t>
      </w:r>
    </w:p>
    <w:p w14:paraId="13A88AA2">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Style w:val="14"/>
          <w:rFonts w:hint="eastAsia" w:ascii="仿宋" w:hAnsi="仿宋" w:eastAsia="仿宋" w:cstheme="minorBidi"/>
          <w:bCs/>
          <w:color w:val="auto"/>
          <w:sz w:val="32"/>
          <w:szCs w:val="32"/>
          <w:highlight w:val="none"/>
          <w:lang w:val="en-US" w:eastAsia="zh-CN"/>
        </w:rPr>
        <w:t>12.</w:t>
      </w:r>
      <w:r>
        <w:rPr>
          <w:rFonts w:hint="eastAsia" w:ascii="仿宋" w:hAnsi="仿宋" w:eastAsia="仿宋" w:cs="仿宋"/>
          <w:b/>
          <w:bCs/>
          <w:color w:val="auto"/>
          <w:kern w:val="0"/>
          <w:sz w:val="32"/>
          <w:szCs w:val="32"/>
          <w:lang w:val="en-US" w:eastAsia="zh-CN" w:bidi="ar"/>
        </w:rPr>
        <w:t>教育支出（类）普通教育（款）其他普通教育支出（项）：</w:t>
      </w:r>
      <w:r>
        <w:rPr>
          <w:rFonts w:hint="eastAsia" w:ascii="仿宋" w:hAnsi="仿宋" w:eastAsia="仿宋" w:cs="仿宋"/>
          <w:color w:val="auto"/>
          <w:kern w:val="0"/>
          <w:sz w:val="32"/>
          <w:szCs w:val="32"/>
          <w:lang w:val="en-US" w:eastAsia="zh-CN" w:bidi="ar"/>
        </w:rPr>
        <w:t>支出决算为0.16万元，完成预算100%。</w:t>
      </w:r>
    </w:p>
    <w:p w14:paraId="433B7F78">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文化和旅游</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行政运行</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16.28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6D1635E1">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文化和旅游</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文化活动</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0695CB76">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15</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文化和旅游</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群众文化</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3.19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098A3F6B">
      <w:pPr>
        <w:spacing w:line="600" w:lineRule="exact"/>
        <w:ind w:firstLine="643" w:firstLineChars="200"/>
        <w:rPr>
          <w:rFonts w:hint="eastAsia"/>
          <w:color w:val="auto"/>
        </w:rPr>
      </w:pPr>
      <w:r>
        <w:rPr>
          <w:rStyle w:val="14"/>
          <w:rFonts w:hint="eastAsia" w:ascii="仿宋" w:hAnsi="仿宋" w:eastAsia="仿宋"/>
          <w:bCs/>
          <w:color w:val="auto"/>
          <w:sz w:val="32"/>
          <w:szCs w:val="32"/>
          <w:highlight w:val="none"/>
          <w:lang w:val="en-US" w:eastAsia="zh-CN"/>
        </w:rPr>
        <w:t>16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文化旅游体育与传媒</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文化和旅游</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其他文化和旅游支出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3.78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214E0752">
      <w:pPr>
        <w:numPr>
          <w:ilvl w:val="0"/>
          <w:numId w:val="0"/>
        </w:numPr>
        <w:spacing w:line="600" w:lineRule="exact"/>
        <w:ind w:firstLine="643" w:firstLineChars="200"/>
        <w:outlineLvl w:val="2"/>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17</w:t>
      </w:r>
      <w:r>
        <w:rPr>
          <w:rFonts w:hint="eastAsia" w:ascii="仿宋" w:hAnsi="仿宋" w:eastAsia="仿宋" w:cs="仿宋"/>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文化旅游体育与传媒支出（类）广播电视（款）其他广播电视支出（项）：</w:t>
      </w:r>
      <w:r>
        <w:rPr>
          <w:rFonts w:hint="eastAsia" w:ascii="仿宋" w:hAnsi="仿宋" w:eastAsia="仿宋" w:cs="仿宋"/>
          <w:color w:val="auto"/>
          <w:kern w:val="0"/>
          <w:sz w:val="32"/>
          <w:szCs w:val="32"/>
          <w:lang w:val="en-US" w:eastAsia="zh-CN" w:bidi="ar"/>
        </w:rPr>
        <w:t>支出决算为5.68万元，完成预算100%。</w:t>
      </w:r>
    </w:p>
    <w:p w14:paraId="3249257F">
      <w:pPr>
        <w:numPr>
          <w:ilvl w:val="0"/>
          <w:numId w:val="0"/>
        </w:numPr>
        <w:spacing w:line="600" w:lineRule="exact"/>
        <w:ind w:firstLine="643" w:firstLineChars="200"/>
        <w:outlineLvl w:val="2"/>
        <w:rPr>
          <w:rFonts w:hint="eastAsia"/>
          <w:lang w:val="en-US" w:eastAsia="zh-CN"/>
        </w:rPr>
      </w:pPr>
      <w:r>
        <w:rPr>
          <w:rFonts w:hint="eastAsia" w:ascii="仿宋" w:hAnsi="仿宋" w:eastAsia="仿宋" w:cs="仿宋"/>
          <w:b/>
          <w:bCs/>
          <w:color w:val="auto"/>
          <w:kern w:val="0"/>
          <w:sz w:val="32"/>
          <w:szCs w:val="32"/>
          <w:lang w:val="en-US" w:eastAsia="zh-CN" w:bidi="ar"/>
        </w:rPr>
        <w:t>18</w:t>
      </w:r>
      <w:r>
        <w:rPr>
          <w:rFonts w:hint="eastAsia" w:ascii="仿宋" w:hAnsi="仿宋" w:eastAsia="仿宋" w:cs="仿宋"/>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文化旅游体育与传媒支出（类）其他文化旅游体育与传媒支出（款）其他文化旅游体育与传媒支出（项）：</w:t>
      </w:r>
      <w:r>
        <w:rPr>
          <w:rFonts w:hint="eastAsia" w:ascii="仿宋" w:hAnsi="仿宋" w:eastAsia="仿宋" w:cs="仿宋"/>
          <w:color w:val="auto"/>
          <w:kern w:val="0"/>
          <w:sz w:val="32"/>
          <w:szCs w:val="32"/>
          <w:lang w:val="en-US" w:eastAsia="zh-CN" w:bidi="ar"/>
        </w:rPr>
        <w:t>支出决算为2.4万元，完成预算100%。</w:t>
      </w:r>
    </w:p>
    <w:p w14:paraId="14917E80">
      <w:pPr>
        <w:keepNext w:val="0"/>
        <w:keepLines w:val="0"/>
        <w:widowControl/>
        <w:numPr>
          <w:ilvl w:val="0"/>
          <w:numId w:val="0"/>
        </w:numPr>
        <w:suppressLineNumbers w:val="0"/>
        <w:ind w:firstLine="643"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19.社会保障和就业支出（类）行政事业单位养老支出（款） 行政单位离退休（项）</w:t>
      </w:r>
      <w:r>
        <w:rPr>
          <w:rFonts w:hint="eastAsia" w:ascii="仿宋" w:hAnsi="仿宋" w:eastAsia="仿宋" w:cs="仿宋"/>
          <w:color w:val="auto"/>
          <w:kern w:val="0"/>
          <w:sz w:val="32"/>
          <w:szCs w:val="32"/>
          <w:lang w:val="en-US" w:eastAsia="zh-CN" w:bidi="ar"/>
        </w:rPr>
        <w:t>：支出决算为40.39万元，完成预算100%。</w:t>
      </w:r>
    </w:p>
    <w:p w14:paraId="11DFB034">
      <w:pPr>
        <w:keepNext w:val="0"/>
        <w:keepLines w:val="0"/>
        <w:widowControl/>
        <w:numPr>
          <w:ilvl w:val="0"/>
          <w:numId w:val="0"/>
        </w:numPr>
        <w:suppressLineNumbers w:val="0"/>
        <w:ind w:firstLine="643" w:firstLineChars="200"/>
        <w:jc w:val="both"/>
        <w:rPr>
          <w:rFonts w:hint="eastAsia"/>
          <w:color w:val="auto"/>
          <w:lang w:val="en-US" w:eastAsia="zh-CN"/>
        </w:rPr>
      </w:pPr>
      <w:r>
        <w:rPr>
          <w:rFonts w:hint="eastAsia" w:ascii="仿宋" w:hAnsi="仿宋" w:eastAsia="仿宋" w:cs="仿宋"/>
          <w:b/>
          <w:bCs/>
          <w:color w:val="auto"/>
          <w:kern w:val="0"/>
          <w:sz w:val="32"/>
          <w:szCs w:val="32"/>
          <w:lang w:val="en-US" w:eastAsia="zh-CN" w:bidi="ar"/>
        </w:rPr>
        <w:t>20.社会保障和就业支出（类）行政事业单位养老支出（款） 事业单位离退休（项）</w:t>
      </w:r>
      <w:r>
        <w:rPr>
          <w:rFonts w:hint="eastAsia" w:ascii="仿宋" w:hAnsi="仿宋" w:eastAsia="仿宋" w:cs="仿宋"/>
          <w:color w:val="auto"/>
          <w:kern w:val="0"/>
          <w:sz w:val="32"/>
          <w:szCs w:val="32"/>
          <w:lang w:val="en-US" w:eastAsia="zh-CN" w:bidi="ar"/>
        </w:rPr>
        <w:t>：支出决算为19.41万元，完成预算100%。</w:t>
      </w:r>
    </w:p>
    <w:p w14:paraId="57860DFA">
      <w:pPr>
        <w:keepNext w:val="0"/>
        <w:keepLines w:val="0"/>
        <w:widowControl/>
        <w:numPr>
          <w:ilvl w:val="0"/>
          <w:numId w:val="0"/>
        </w:numPr>
        <w:suppressLineNumbers w:val="0"/>
        <w:ind w:firstLine="643"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21.社会保障和就业支出（类）行政事业单位养老支出（款） 机关事业单位基本养老保险缴费支出（项）</w:t>
      </w:r>
      <w:r>
        <w:rPr>
          <w:rFonts w:hint="eastAsia" w:ascii="仿宋" w:hAnsi="仿宋" w:eastAsia="仿宋" w:cs="仿宋"/>
          <w:color w:val="auto"/>
          <w:kern w:val="0"/>
          <w:sz w:val="32"/>
          <w:szCs w:val="32"/>
          <w:lang w:val="en-US" w:eastAsia="zh-CN" w:bidi="ar"/>
        </w:rPr>
        <w:t>：支出决算为64.94万元，完成预算100%。</w:t>
      </w:r>
    </w:p>
    <w:p w14:paraId="4A0B652E">
      <w:pPr>
        <w:keepNext w:val="0"/>
        <w:keepLines w:val="0"/>
        <w:widowControl/>
        <w:numPr>
          <w:ilvl w:val="0"/>
          <w:numId w:val="0"/>
        </w:numPr>
        <w:suppressLineNumbers w:val="0"/>
        <w:ind w:firstLine="643" w:firstLineChars="200"/>
        <w:jc w:val="both"/>
        <w:rPr>
          <w:rFonts w:hint="eastAsia"/>
          <w:lang w:val="en-US" w:eastAsia="zh-CN"/>
        </w:rPr>
      </w:pPr>
      <w:r>
        <w:rPr>
          <w:rFonts w:hint="eastAsia" w:ascii="仿宋" w:hAnsi="仿宋" w:eastAsia="仿宋" w:cs="仿宋"/>
          <w:b/>
          <w:bCs/>
          <w:color w:val="auto"/>
          <w:kern w:val="0"/>
          <w:sz w:val="32"/>
          <w:szCs w:val="32"/>
          <w:lang w:val="en-US" w:eastAsia="zh-CN" w:bidi="ar"/>
        </w:rPr>
        <w:t>22.社会保障和就业支出（类）行政事业单位养老支出（款）机关事业单位职业年金缴费支出（项）</w:t>
      </w:r>
      <w:r>
        <w:rPr>
          <w:rFonts w:hint="eastAsia" w:ascii="仿宋" w:hAnsi="仿宋" w:eastAsia="仿宋" w:cs="仿宋"/>
          <w:color w:val="auto"/>
          <w:kern w:val="0"/>
          <w:sz w:val="32"/>
          <w:szCs w:val="32"/>
          <w:lang w:val="en-US" w:eastAsia="zh-CN" w:bidi="ar"/>
        </w:rPr>
        <w:t>：支出决算为5.87万元，完成预算100%。</w:t>
      </w:r>
    </w:p>
    <w:p w14:paraId="7C3E746C">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23.社会保障和就业支出（类）抚恤（款） 死亡抚恤（项）</w:t>
      </w:r>
      <w:r>
        <w:rPr>
          <w:rFonts w:hint="eastAsia" w:ascii="仿宋" w:hAnsi="仿宋" w:eastAsia="仿宋" w:cs="仿宋"/>
          <w:color w:val="auto"/>
          <w:kern w:val="0"/>
          <w:sz w:val="32"/>
          <w:szCs w:val="32"/>
          <w:lang w:val="en-US" w:eastAsia="zh-CN" w:bidi="ar"/>
        </w:rPr>
        <w:t>：支出决算为18.90万元，完成预算100%。</w:t>
      </w:r>
    </w:p>
    <w:p w14:paraId="3020BA40">
      <w:pPr>
        <w:keepNext w:val="0"/>
        <w:keepLines w:val="0"/>
        <w:widowControl/>
        <w:numPr>
          <w:ilvl w:val="0"/>
          <w:numId w:val="0"/>
        </w:numPr>
        <w:suppressLineNumbers w:val="0"/>
        <w:ind w:firstLine="643" w:firstLineChars="200"/>
        <w:jc w:val="left"/>
        <w:rPr>
          <w:rFonts w:hint="default"/>
          <w:lang w:val="en-US" w:eastAsia="zh-CN"/>
        </w:rPr>
      </w:pPr>
      <w:r>
        <w:rPr>
          <w:rFonts w:hint="eastAsia" w:ascii="仿宋" w:hAnsi="仿宋" w:eastAsia="仿宋" w:cs="仿宋"/>
          <w:b/>
          <w:bCs/>
          <w:color w:val="auto"/>
          <w:kern w:val="0"/>
          <w:sz w:val="32"/>
          <w:szCs w:val="32"/>
          <w:lang w:val="en-US" w:eastAsia="zh-CN" w:bidi="ar"/>
        </w:rPr>
        <w:t>24.社会保障和就业支出（类）社会福利（款）其他社会福利支出（项）</w:t>
      </w:r>
      <w:r>
        <w:rPr>
          <w:rFonts w:hint="eastAsia" w:ascii="仿宋" w:hAnsi="仿宋" w:eastAsia="仿宋" w:cs="仿宋"/>
          <w:color w:val="auto"/>
          <w:kern w:val="0"/>
          <w:sz w:val="32"/>
          <w:szCs w:val="32"/>
          <w:lang w:val="en-US" w:eastAsia="zh-CN" w:bidi="ar"/>
        </w:rPr>
        <w:t>：支出决算为13.08万元，完成预算100%。</w:t>
      </w:r>
    </w:p>
    <w:p w14:paraId="0F55907D">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25.社会保障和就业支出（类）退役军人管理事务（款）机关服务（项）：</w:t>
      </w:r>
      <w:r>
        <w:rPr>
          <w:rFonts w:hint="eastAsia" w:ascii="仿宋" w:hAnsi="仿宋" w:eastAsia="仿宋" w:cs="仿宋"/>
          <w:color w:val="auto"/>
          <w:kern w:val="0"/>
          <w:sz w:val="32"/>
          <w:szCs w:val="32"/>
          <w:lang w:val="en-US" w:eastAsia="zh-CN" w:bidi="ar"/>
        </w:rPr>
        <w:t>支出决算为5.04万元，完成预算100%。</w:t>
      </w:r>
    </w:p>
    <w:p w14:paraId="2DDF5454">
      <w:pPr>
        <w:keepNext w:val="0"/>
        <w:keepLines w:val="0"/>
        <w:widowControl/>
        <w:numPr>
          <w:ilvl w:val="0"/>
          <w:numId w:val="0"/>
        </w:numPr>
        <w:suppressLineNumbers w:val="0"/>
        <w:ind w:firstLine="643" w:firstLineChars="200"/>
        <w:jc w:val="left"/>
        <w:rPr>
          <w:rFonts w:hint="eastAsia"/>
          <w:color w:val="auto"/>
          <w:lang w:val="en-US" w:eastAsia="zh-CN"/>
        </w:rPr>
      </w:pPr>
      <w:r>
        <w:rPr>
          <w:rFonts w:hint="eastAsia" w:ascii="仿宋" w:hAnsi="仿宋" w:eastAsia="仿宋" w:cs="仿宋"/>
          <w:b/>
          <w:bCs/>
          <w:color w:val="auto"/>
          <w:kern w:val="0"/>
          <w:sz w:val="32"/>
          <w:szCs w:val="32"/>
          <w:lang w:val="en-US" w:eastAsia="zh-CN" w:bidi="ar"/>
        </w:rPr>
        <w:t>26.卫生健康支出（类）基层医疗卫生机构（款）其他基层医疗卫生机构支出（项）</w:t>
      </w:r>
      <w:r>
        <w:rPr>
          <w:rFonts w:hint="eastAsia" w:ascii="仿宋" w:hAnsi="仿宋" w:eastAsia="仿宋" w:cs="仿宋"/>
          <w:color w:val="auto"/>
          <w:kern w:val="0"/>
          <w:sz w:val="32"/>
          <w:szCs w:val="32"/>
          <w:lang w:val="en-US" w:eastAsia="zh-CN" w:bidi="ar"/>
        </w:rPr>
        <w:t>：支出决算为4.11万元，完成预算100%。</w:t>
      </w:r>
    </w:p>
    <w:p w14:paraId="627E31C6">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27.卫生健康支出（类）公共卫生（款）重大公共卫生服务（项）</w:t>
      </w:r>
      <w:r>
        <w:rPr>
          <w:rFonts w:hint="eastAsia" w:ascii="仿宋" w:hAnsi="仿宋" w:eastAsia="仿宋" w:cs="仿宋"/>
          <w:color w:val="auto"/>
          <w:kern w:val="0"/>
          <w:sz w:val="32"/>
          <w:szCs w:val="32"/>
          <w:lang w:val="en-US" w:eastAsia="zh-CN" w:bidi="ar"/>
        </w:rPr>
        <w:t>：支出决算为221.96万元，完成预算100%。</w:t>
      </w:r>
    </w:p>
    <w:p w14:paraId="62941578">
      <w:pPr>
        <w:keepNext w:val="0"/>
        <w:keepLines w:val="0"/>
        <w:widowControl/>
        <w:numPr>
          <w:ilvl w:val="0"/>
          <w:numId w:val="0"/>
        </w:numPr>
        <w:suppressLineNumbers w:val="0"/>
        <w:ind w:firstLine="643" w:firstLineChars="200"/>
        <w:jc w:val="left"/>
        <w:rPr>
          <w:rFonts w:hint="eastAsia"/>
          <w:color w:val="auto"/>
          <w:lang w:val="en-US" w:eastAsia="zh-CN"/>
        </w:rPr>
      </w:pPr>
      <w:r>
        <w:rPr>
          <w:rFonts w:hint="eastAsia" w:ascii="仿宋" w:hAnsi="仿宋" w:eastAsia="仿宋" w:cs="仿宋"/>
          <w:b/>
          <w:bCs/>
          <w:color w:val="auto"/>
          <w:kern w:val="0"/>
          <w:sz w:val="32"/>
          <w:szCs w:val="32"/>
          <w:lang w:val="en-US" w:eastAsia="zh-CN" w:bidi="ar"/>
        </w:rPr>
        <w:t>28.卫生健康支出（类）公共卫生（款）其他公共卫生支出（项）</w:t>
      </w:r>
      <w:r>
        <w:rPr>
          <w:rFonts w:hint="eastAsia" w:ascii="仿宋" w:hAnsi="仿宋" w:eastAsia="仿宋" w:cs="仿宋"/>
          <w:color w:val="auto"/>
          <w:kern w:val="0"/>
          <w:sz w:val="32"/>
          <w:szCs w:val="32"/>
          <w:lang w:val="en-US" w:eastAsia="zh-CN" w:bidi="ar"/>
        </w:rPr>
        <w:t>：支出决算为0.7万元，完成预算100%。</w:t>
      </w:r>
    </w:p>
    <w:p w14:paraId="59458DC0">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29.卫生健康支出（类）行政事业单位医疗（款）行政单位医疗（项）：</w:t>
      </w:r>
      <w:r>
        <w:rPr>
          <w:rFonts w:hint="eastAsia" w:ascii="仿宋" w:hAnsi="仿宋" w:eastAsia="仿宋" w:cs="仿宋"/>
          <w:color w:val="auto"/>
          <w:kern w:val="0"/>
          <w:sz w:val="32"/>
          <w:szCs w:val="32"/>
          <w:lang w:val="en-US" w:eastAsia="zh-CN" w:bidi="ar"/>
        </w:rPr>
        <w:t>支出决算为18.64万元，完成预算100%。</w:t>
      </w:r>
    </w:p>
    <w:p w14:paraId="21239568">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30.卫生健康支出（类）行政事业单位医疗（款）事业单位医疗（项）：</w:t>
      </w:r>
      <w:r>
        <w:rPr>
          <w:rFonts w:hint="eastAsia" w:ascii="仿宋" w:hAnsi="仿宋" w:eastAsia="仿宋" w:cs="仿宋"/>
          <w:color w:val="auto"/>
          <w:kern w:val="0"/>
          <w:sz w:val="32"/>
          <w:szCs w:val="32"/>
          <w:lang w:val="en-US" w:eastAsia="zh-CN" w:bidi="ar"/>
        </w:rPr>
        <w:t>支出决算为9.83万元，完成预算100%。</w:t>
      </w:r>
    </w:p>
    <w:p w14:paraId="32970A65">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31.节能环保支出（类）环境保护管理事务（款）一般行政管理事务（项）</w:t>
      </w:r>
      <w:r>
        <w:rPr>
          <w:rFonts w:hint="eastAsia" w:ascii="仿宋" w:hAnsi="仿宋" w:eastAsia="仿宋" w:cs="仿宋"/>
          <w:color w:val="auto"/>
          <w:kern w:val="0"/>
          <w:sz w:val="32"/>
          <w:szCs w:val="32"/>
          <w:lang w:val="en-US" w:eastAsia="zh-CN" w:bidi="ar"/>
        </w:rPr>
        <w:t>：支出决算为2.56万元，完成预算100%。</w:t>
      </w:r>
    </w:p>
    <w:p w14:paraId="63A4D227">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32.节能环保支出（类）污染防治（款）水体（项）</w:t>
      </w:r>
      <w:r>
        <w:rPr>
          <w:rFonts w:hint="eastAsia" w:ascii="仿宋" w:hAnsi="仿宋" w:eastAsia="仿宋" w:cs="仿宋"/>
          <w:color w:val="auto"/>
          <w:kern w:val="0"/>
          <w:sz w:val="32"/>
          <w:szCs w:val="32"/>
          <w:lang w:val="en-US" w:eastAsia="zh-CN" w:bidi="ar"/>
        </w:rPr>
        <w:t>：支出决算为0.11万元，完成预算100%。</w:t>
      </w:r>
    </w:p>
    <w:p w14:paraId="2F0902C4">
      <w:pPr>
        <w:keepNext w:val="0"/>
        <w:keepLines w:val="0"/>
        <w:widowControl/>
        <w:numPr>
          <w:ilvl w:val="0"/>
          <w:numId w:val="0"/>
        </w:numPr>
        <w:suppressLineNumbers w:val="0"/>
        <w:ind w:firstLine="643" w:firstLineChars="200"/>
        <w:jc w:val="left"/>
        <w:rPr>
          <w:rFonts w:hint="eastAsia"/>
          <w:lang w:val="en-US" w:eastAsia="zh-CN"/>
        </w:rPr>
      </w:pPr>
      <w:r>
        <w:rPr>
          <w:rFonts w:hint="eastAsia" w:ascii="仿宋" w:hAnsi="仿宋" w:eastAsia="仿宋" w:cs="仿宋"/>
          <w:b/>
          <w:bCs/>
          <w:color w:val="auto"/>
          <w:kern w:val="0"/>
          <w:sz w:val="32"/>
          <w:szCs w:val="32"/>
          <w:lang w:val="en-US" w:eastAsia="zh-CN" w:bidi="ar"/>
        </w:rPr>
        <w:t>33.节能环保支出（类）自然生态保护（款）农村环境保护（项）</w:t>
      </w:r>
      <w:r>
        <w:rPr>
          <w:rFonts w:hint="eastAsia" w:ascii="仿宋" w:hAnsi="仿宋" w:eastAsia="仿宋" w:cs="仿宋"/>
          <w:color w:val="auto"/>
          <w:kern w:val="0"/>
          <w:sz w:val="32"/>
          <w:szCs w:val="32"/>
          <w:lang w:val="en-US" w:eastAsia="zh-CN" w:bidi="ar"/>
        </w:rPr>
        <w:t>：支出决算为51.24万元，完成预算100%。</w:t>
      </w:r>
    </w:p>
    <w:p w14:paraId="18D7E441">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34.城乡社区支出（类）城乡社区管理事务（款）城管执法（项）</w:t>
      </w:r>
      <w:r>
        <w:rPr>
          <w:rFonts w:hint="eastAsia" w:ascii="仿宋" w:hAnsi="仿宋" w:eastAsia="仿宋" w:cs="仿宋"/>
          <w:color w:val="auto"/>
          <w:kern w:val="0"/>
          <w:sz w:val="32"/>
          <w:szCs w:val="32"/>
          <w:lang w:val="en-US" w:eastAsia="zh-CN" w:bidi="ar"/>
        </w:rPr>
        <w:t>：支出决算为23.45万元，完成预算100%。</w:t>
      </w:r>
    </w:p>
    <w:p w14:paraId="661F94E5">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35.城乡社区支出（类）城乡社区规划与管理（款） 城乡社区规划与管理（项）</w:t>
      </w:r>
      <w:r>
        <w:rPr>
          <w:rFonts w:hint="eastAsia" w:ascii="仿宋" w:hAnsi="仿宋" w:eastAsia="仿宋" w:cs="仿宋"/>
          <w:color w:val="auto"/>
          <w:kern w:val="0"/>
          <w:sz w:val="32"/>
          <w:szCs w:val="32"/>
          <w:lang w:val="en-US" w:eastAsia="zh-CN" w:bidi="ar"/>
        </w:rPr>
        <w:t>：支出决算为358.36万元，完成预算100%。</w:t>
      </w:r>
    </w:p>
    <w:p w14:paraId="22DAE457">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36.城乡社区支出（类）城乡社区环境卫生（款）城乡社区环境卫生（项）：</w:t>
      </w:r>
      <w:r>
        <w:rPr>
          <w:rFonts w:hint="eastAsia" w:ascii="仿宋" w:hAnsi="仿宋" w:eastAsia="仿宋" w:cs="仿宋"/>
          <w:color w:val="auto"/>
          <w:kern w:val="0"/>
          <w:sz w:val="32"/>
          <w:szCs w:val="32"/>
          <w:lang w:val="en-US" w:eastAsia="zh-CN" w:bidi="ar"/>
        </w:rPr>
        <w:t>支出决算为137.19万元，完成预算100%。</w:t>
      </w:r>
    </w:p>
    <w:p w14:paraId="6F14C5C2">
      <w:pPr>
        <w:keepNext w:val="0"/>
        <w:keepLines w:val="0"/>
        <w:widowControl/>
        <w:numPr>
          <w:ilvl w:val="0"/>
          <w:numId w:val="0"/>
        </w:numPr>
        <w:suppressLineNumbers w:val="0"/>
        <w:ind w:firstLine="643" w:firstLineChars="200"/>
        <w:jc w:val="left"/>
        <w:rPr>
          <w:rFonts w:hint="eastAsia"/>
          <w:color w:val="auto"/>
          <w:lang w:val="en-US" w:eastAsia="zh-CN"/>
        </w:rPr>
      </w:pPr>
      <w:r>
        <w:rPr>
          <w:rFonts w:hint="eastAsia" w:ascii="仿宋" w:hAnsi="仿宋" w:eastAsia="仿宋" w:cs="仿宋"/>
          <w:b/>
          <w:bCs/>
          <w:color w:val="auto"/>
          <w:kern w:val="0"/>
          <w:sz w:val="32"/>
          <w:szCs w:val="32"/>
          <w:lang w:val="en-US" w:eastAsia="zh-CN" w:bidi="ar"/>
        </w:rPr>
        <w:t>37.城乡社区支出（类）其他城乡社区支出（款）其他城乡社区支出（项）：</w:t>
      </w:r>
      <w:r>
        <w:rPr>
          <w:rFonts w:hint="eastAsia" w:ascii="仿宋" w:hAnsi="仿宋" w:eastAsia="仿宋" w:cs="仿宋"/>
          <w:color w:val="auto"/>
          <w:kern w:val="0"/>
          <w:sz w:val="32"/>
          <w:szCs w:val="32"/>
          <w:lang w:val="en-US" w:eastAsia="zh-CN" w:bidi="ar"/>
        </w:rPr>
        <w:t>支出决算为0.76万元，完成预算100%。</w:t>
      </w:r>
    </w:p>
    <w:p w14:paraId="5AD46950">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38</w:t>
      </w:r>
      <w:r>
        <w:rPr>
          <w:rFonts w:hint="eastAsia" w:ascii="仿宋" w:hAnsi="仿宋" w:eastAsia="仿宋" w:cs="仿宋"/>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农林水支出（类）农业农村（款） 事业运行（项）：</w:t>
      </w:r>
      <w:r>
        <w:rPr>
          <w:rFonts w:hint="eastAsia" w:ascii="仿宋" w:hAnsi="仿宋" w:eastAsia="仿宋" w:cs="仿宋"/>
          <w:color w:val="auto"/>
          <w:kern w:val="0"/>
          <w:sz w:val="32"/>
          <w:szCs w:val="32"/>
          <w:lang w:val="en-US" w:eastAsia="zh-CN" w:bidi="ar"/>
        </w:rPr>
        <w:t>支出预算为42.3万元，完成预算100%。</w:t>
      </w:r>
    </w:p>
    <w:p w14:paraId="375E1E87">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39.农林水支出（类）农业农村（款）病虫害控制（项）</w:t>
      </w:r>
      <w:r>
        <w:rPr>
          <w:rFonts w:hint="eastAsia" w:ascii="仿宋" w:hAnsi="仿宋" w:eastAsia="仿宋" w:cs="仿宋"/>
          <w:color w:val="auto"/>
          <w:kern w:val="0"/>
          <w:sz w:val="32"/>
          <w:szCs w:val="32"/>
          <w:lang w:val="en-US" w:eastAsia="zh-CN" w:bidi="ar"/>
        </w:rPr>
        <w:t>：支出预算为9.07万元，完成预算100%。</w:t>
      </w:r>
    </w:p>
    <w:p w14:paraId="6C087C03">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40.农林水支出（类）农业农村（款）农业生产发展（项）</w:t>
      </w:r>
      <w:r>
        <w:rPr>
          <w:rFonts w:hint="eastAsia" w:ascii="仿宋" w:hAnsi="仿宋" w:eastAsia="仿宋" w:cs="仿宋"/>
          <w:color w:val="auto"/>
          <w:kern w:val="0"/>
          <w:sz w:val="32"/>
          <w:szCs w:val="32"/>
          <w:lang w:val="en-US" w:eastAsia="zh-CN" w:bidi="ar"/>
        </w:rPr>
        <w:t>：支出预算为2.5万元，完成预算100%。</w:t>
      </w:r>
    </w:p>
    <w:p w14:paraId="520EC3BE">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41.农林水支出（类）农业农村（款）其他农业农村支出（项）</w:t>
      </w:r>
      <w:r>
        <w:rPr>
          <w:rFonts w:hint="eastAsia" w:ascii="仿宋" w:hAnsi="仿宋" w:eastAsia="仿宋" w:cs="仿宋"/>
          <w:color w:val="auto"/>
          <w:kern w:val="0"/>
          <w:sz w:val="32"/>
          <w:szCs w:val="32"/>
          <w:lang w:val="en-US" w:eastAsia="zh-CN" w:bidi="ar"/>
        </w:rPr>
        <w:t>：支出预算为76.84万元，完成预算100%。</w:t>
      </w:r>
    </w:p>
    <w:p w14:paraId="149C0AE2">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42.农林水支出（类）水利（款）农村水利（项）：</w:t>
      </w:r>
      <w:r>
        <w:rPr>
          <w:rFonts w:hint="eastAsia" w:ascii="仿宋" w:hAnsi="仿宋" w:eastAsia="仿宋" w:cs="仿宋"/>
          <w:b w:val="0"/>
          <w:bCs w:val="0"/>
          <w:color w:val="auto"/>
          <w:kern w:val="0"/>
          <w:sz w:val="32"/>
          <w:szCs w:val="32"/>
          <w:lang w:val="en-US" w:eastAsia="zh-CN" w:bidi="ar"/>
        </w:rPr>
        <w:t>支</w:t>
      </w:r>
      <w:r>
        <w:rPr>
          <w:rFonts w:hint="eastAsia" w:ascii="仿宋" w:hAnsi="仿宋" w:eastAsia="仿宋" w:cs="仿宋"/>
          <w:color w:val="auto"/>
          <w:kern w:val="0"/>
          <w:sz w:val="32"/>
          <w:szCs w:val="32"/>
          <w:lang w:val="en-US" w:eastAsia="zh-CN" w:bidi="ar"/>
        </w:rPr>
        <w:t>出预算为0.36万元，完成预算100%。</w:t>
      </w:r>
    </w:p>
    <w:p w14:paraId="38085D43">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43.农林水支出（类）巩固脱贫攻坚成果衔接乡村振兴（款）农村基础设施建设（项）：</w:t>
      </w:r>
      <w:r>
        <w:rPr>
          <w:rFonts w:hint="eastAsia" w:ascii="仿宋" w:hAnsi="仿宋" w:eastAsia="仿宋" w:cs="仿宋"/>
          <w:b w:val="0"/>
          <w:bCs w:val="0"/>
          <w:color w:val="auto"/>
          <w:kern w:val="0"/>
          <w:sz w:val="32"/>
          <w:szCs w:val="32"/>
          <w:lang w:val="en-US" w:eastAsia="zh-CN" w:bidi="ar"/>
        </w:rPr>
        <w:t>支</w:t>
      </w:r>
      <w:r>
        <w:rPr>
          <w:rFonts w:hint="eastAsia" w:ascii="仿宋" w:hAnsi="仿宋" w:eastAsia="仿宋" w:cs="仿宋"/>
          <w:color w:val="auto"/>
          <w:kern w:val="0"/>
          <w:sz w:val="32"/>
          <w:szCs w:val="32"/>
          <w:lang w:val="en-US" w:eastAsia="zh-CN" w:bidi="ar"/>
        </w:rPr>
        <w:t>出预算为105.88万元，完成预算100%。</w:t>
      </w:r>
    </w:p>
    <w:p w14:paraId="66EE22D1">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44.农林水支出（类）巩固脱贫攻坚成果衔接乡村振兴（款）其他巩固脱贫攻坚成果衔接乡村振兴支出（项）：</w:t>
      </w:r>
      <w:r>
        <w:rPr>
          <w:rFonts w:hint="eastAsia" w:ascii="仿宋" w:hAnsi="仿宋" w:eastAsia="仿宋" w:cs="仿宋"/>
          <w:b w:val="0"/>
          <w:bCs w:val="0"/>
          <w:color w:val="auto"/>
          <w:kern w:val="0"/>
          <w:sz w:val="32"/>
          <w:szCs w:val="32"/>
          <w:lang w:val="en-US" w:eastAsia="zh-CN" w:bidi="ar"/>
        </w:rPr>
        <w:t>支</w:t>
      </w:r>
      <w:r>
        <w:rPr>
          <w:rFonts w:hint="eastAsia" w:ascii="仿宋" w:hAnsi="仿宋" w:eastAsia="仿宋" w:cs="仿宋"/>
          <w:color w:val="auto"/>
          <w:kern w:val="0"/>
          <w:sz w:val="32"/>
          <w:szCs w:val="32"/>
          <w:lang w:val="en-US" w:eastAsia="zh-CN" w:bidi="ar"/>
        </w:rPr>
        <w:t>出预算为11.33万元，完成预算100%。</w:t>
      </w:r>
    </w:p>
    <w:p w14:paraId="75E1356B">
      <w:pPr>
        <w:pStyle w:val="2"/>
        <w:ind w:firstLine="643" w:firstLineChars="200"/>
        <w:rPr>
          <w:rFonts w:hint="eastAsia"/>
          <w:color w:val="auto"/>
          <w:lang w:val="en-US" w:eastAsia="zh-CN"/>
        </w:rPr>
      </w:pPr>
      <w:r>
        <w:rPr>
          <w:rFonts w:hint="eastAsia" w:ascii="仿宋" w:hAnsi="仿宋" w:eastAsia="仿宋" w:cs="仿宋"/>
          <w:b/>
          <w:bCs/>
          <w:color w:val="auto"/>
          <w:kern w:val="0"/>
          <w:sz w:val="32"/>
          <w:szCs w:val="32"/>
          <w:lang w:val="en-US" w:eastAsia="zh-CN" w:bidi="ar"/>
        </w:rPr>
        <w:t>45.农林水支出（类）农村综合改革（款） 对村级公益事业建设的补助（项）</w:t>
      </w:r>
      <w:r>
        <w:rPr>
          <w:rFonts w:hint="eastAsia" w:ascii="仿宋" w:hAnsi="仿宋" w:eastAsia="仿宋" w:cs="仿宋"/>
          <w:color w:val="auto"/>
          <w:kern w:val="0"/>
          <w:sz w:val="32"/>
          <w:szCs w:val="32"/>
          <w:lang w:val="en-US" w:eastAsia="zh-CN" w:bidi="ar"/>
        </w:rPr>
        <w:t>：支出预算为102.88万元，完成预算100%。</w:t>
      </w:r>
    </w:p>
    <w:p w14:paraId="67AA3DD5">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46.农林水支出（类）农村综合改革（款） 对村民委员会和村党支部的补助（项）</w:t>
      </w:r>
      <w:r>
        <w:rPr>
          <w:rFonts w:hint="eastAsia" w:ascii="仿宋" w:hAnsi="仿宋" w:eastAsia="仿宋" w:cs="仿宋"/>
          <w:color w:val="auto"/>
          <w:kern w:val="0"/>
          <w:sz w:val="32"/>
          <w:szCs w:val="32"/>
          <w:lang w:val="en-US" w:eastAsia="zh-CN" w:bidi="ar"/>
        </w:rPr>
        <w:t>：支出预算为63.65万元，完成预算100%。</w:t>
      </w:r>
    </w:p>
    <w:p w14:paraId="6C65DA55">
      <w:pPr>
        <w:pStyle w:val="2"/>
        <w:ind w:firstLine="643"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47.交通运输支出（类）公路水路运输（款） 其他公路水路运输支出（项）</w:t>
      </w:r>
      <w:r>
        <w:rPr>
          <w:rFonts w:hint="eastAsia" w:ascii="仿宋" w:hAnsi="仿宋" w:eastAsia="仿宋" w:cs="仿宋"/>
          <w:color w:val="auto"/>
          <w:kern w:val="0"/>
          <w:sz w:val="32"/>
          <w:szCs w:val="32"/>
          <w:lang w:val="en-US" w:eastAsia="zh-CN" w:bidi="ar"/>
        </w:rPr>
        <w:t>：支出预算为10.1万元，完成预算100%。</w:t>
      </w:r>
    </w:p>
    <w:p w14:paraId="2C0CBEDE">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48.住房保障支出（类）住房改革支出（款）住房公积金（项）</w:t>
      </w:r>
      <w:r>
        <w:rPr>
          <w:rFonts w:hint="eastAsia" w:ascii="仿宋" w:hAnsi="仿宋" w:eastAsia="仿宋" w:cs="仿宋"/>
          <w:color w:val="auto"/>
          <w:kern w:val="0"/>
          <w:sz w:val="32"/>
          <w:szCs w:val="32"/>
          <w:lang w:val="en-US" w:eastAsia="zh-CN" w:bidi="ar"/>
        </w:rPr>
        <w:t>：支出预算为56.33万元，完成预算100%。</w:t>
      </w:r>
    </w:p>
    <w:p w14:paraId="336502B9">
      <w:pPr>
        <w:keepNext w:val="0"/>
        <w:keepLines w:val="0"/>
        <w:widowControl/>
        <w:numPr>
          <w:ilvl w:val="0"/>
          <w:numId w:val="0"/>
        </w:numPr>
        <w:suppressLineNumbers w:val="0"/>
        <w:ind w:firstLine="643"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49.灾害防治及应急管理支出（类）应急管理事务（款）其他应急管理支出（项）</w:t>
      </w:r>
      <w:r>
        <w:rPr>
          <w:rFonts w:hint="eastAsia" w:ascii="仿宋" w:hAnsi="仿宋" w:eastAsia="仿宋" w:cs="仿宋"/>
          <w:color w:val="auto"/>
          <w:kern w:val="0"/>
          <w:sz w:val="32"/>
          <w:szCs w:val="32"/>
          <w:lang w:val="en-US" w:eastAsia="zh-CN" w:bidi="ar"/>
        </w:rPr>
        <w:t>：支出预算为12.03万元，完成预算100%。</w:t>
      </w:r>
    </w:p>
    <w:p w14:paraId="260A4A1F">
      <w:pPr>
        <w:keepNext w:val="0"/>
        <w:keepLines w:val="0"/>
        <w:widowControl/>
        <w:numPr>
          <w:ilvl w:val="0"/>
          <w:numId w:val="0"/>
        </w:numPr>
        <w:suppressLineNumbers w:val="0"/>
        <w:ind w:firstLine="643" w:firstLineChars="200"/>
        <w:jc w:val="left"/>
        <w:rPr>
          <w:rFonts w:hint="eastAsia"/>
          <w:color w:val="auto"/>
          <w:lang w:val="en-US" w:eastAsia="zh-CN"/>
        </w:rPr>
      </w:pPr>
      <w:r>
        <w:rPr>
          <w:rFonts w:hint="eastAsia" w:ascii="仿宋" w:hAnsi="仿宋" w:eastAsia="仿宋" w:cs="仿宋"/>
          <w:b/>
          <w:bCs/>
          <w:color w:val="auto"/>
          <w:kern w:val="0"/>
          <w:sz w:val="32"/>
          <w:szCs w:val="32"/>
          <w:lang w:val="en-US" w:eastAsia="zh-CN" w:bidi="ar"/>
        </w:rPr>
        <w:t>50.灾害防止及应急管理支出（类）自然灾害防治（款）森林草原防灾减灾（项）</w:t>
      </w:r>
      <w:r>
        <w:rPr>
          <w:rFonts w:hint="eastAsia" w:ascii="仿宋" w:hAnsi="仿宋" w:eastAsia="仿宋" w:cs="仿宋"/>
          <w:color w:val="auto"/>
          <w:kern w:val="0"/>
          <w:sz w:val="32"/>
          <w:szCs w:val="32"/>
          <w:lang w:val="en-US" w:eastAsia="zh-CN" w:bidi="ar"/>
        </w:rPr>
        <w:t>：支出预算为5万元，完成预算100%。</w:t>
      </w:r>
    </w:p>
    <w:p w14:paraId="3AB22F7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至项级。上述“预算”口径为调整预算数。增减变动原因为决算数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和调整预算数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14:paraId="7613EDE3">
      <w:pPr>
        <w:spacing w:line="600" w:lineRule="exact"/>
        <w:ind w:firstLine="640"/>
        <w:rPr>
          <w:rFonts w:ascii="仿宋" w:hAnsi="仿宋" w:eastAsia="仿宋"/>
          <w:b/>
          <w:color w:val="FF0000"/>
          <w:sz w:val="32"/>
          <w:szCs w:val="32"/>
          <w:highlight w:val="none"/>
        </w:rPr>
      </w:pPr>
    </w:p>
    <w:p w14:paraId="48D7A5A5">
      <w:pPr>
        <w:tabs>
          <w:tab w:val="right" w:pos="8306"/>
        </w:tabs>
        <w:spacing w:line="600" w:lineRule="exact"/>
        <w:ind w:firstLine="640"/>
        <w:outlineLvl w:val="1"/>
        <w:rPr>
          <w:rStyle w:val="25"/>
          <w:color w:val="auto"/>
          <w:highlight w:val="none"/>
        </w:rPr>
      </w:pPr>
      <w:bookmarkStart w:id="73" w:name="_Toc15396608"/>
      <w:bookmarkStart w:id="74" w:name="_Toc23893"/>
      <w:bookmarkStart w:id="7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73"/>
      <w:bookmarkEnd w:id="74"/>
      <w:bookmarkEnd w:id="75"/>
      <w:r>
        <w:rPr>
          <w:rStyle w:val="25"/>
          <w:rFonts w:ascii="黑体" w:hAnsi="黑体" w:eastAsia="黑体"/>
          <w:b w:val="0"/>
          <w:color w:val="auto"/>
          <w:highlight w:val="none"/>
        </w:rPr>
        <w:tab/>
      </w:r>
    </w:p>
    <w:p w14:paraId="0426FAED">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809</w:t>
      </w:r>
      <w:r>
        <w:rPr>
          <w:rFonts w:hint="eastAsia" w:ascii="仿宋" w:hAnsi="仿宋" w:eastAsia="仿宋"/>
          <w:color w:val="auto"/>
          <w:sz w:val="32"/>
          <w:szCs w:val="32"/>
          <w:highlight w:val="none"/>
        </w:rPr>
        <w:t>万元，其中：</w:t>
      </w:r>
    </w:p>
    <w:p w14:paraId="1F367890">
      <w:pPr>
        <w:spacing w:line="600" w:lineRule="exact"/>
        <w:ind w:firstLine="645"/>
        <w:rPr>
          <w:rFonts w:ascii="仿宋" w:hAnsi="仿宋" w:eastAsia="仿宋"/>
          <w:color w:val="auto"/>
          <w:sz w:val="32"/>
          <w:szCs w:val="32"/>
          <w:highlight w:val="none"/>
        </w:rPr>
      </w:pPr>
      <w:r>
        <w:rPr>
          <w:rFonts w:hint="eastAsia" w:ascii="仿宋" w:hAnsi="仿宋" w:eastAsia="仿宋"/>
          <w:b/>
          <w:bCs/>
          <w:color w:val="auto"/>
          <w:sz w:val="32"/>
          <w:szCs w:val="32"/>
          <w:highlight w:val="none"/>
        </w:rPr>
        <w:t>人员经费</w:t>
      </w:r>
      <w:r>
        <w:rPr>
          <w:rFonts w:hint="eastAsia" w:ascii="仿宋" w:hAnsi="仿宋" w:eastAsia="仿宋"/>
          <w:color w:val="auto"/>
          <w:sz w:val="32"/>
          <w:szCs w:val="32"/>
          <w:highlight w:val="none"/>
          <w:lang w:val="en-US" w:eastAsia="zh-CN"/>
        </w:rPr>
        <w:t>688.8</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eastAsia="zh-CN"/>
        </w:rPr>
        <w:t>职工基本医疗保险缴费、公务员医疗补助缴费、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eastAsia="zh-CN"/>
        </w:rPr>
        <w:t>医疗费补助</w:t>
      </w:r>
      <w:r>
        <w:rPr>
          <w:rFonts w:hint="eastAsia" w:ascii="仿宋" w:hAnsi="仿宋" w:eastAsia="仿宋"/>
          <w:color w:val="auto"/>
          <w:sz w:val="32"/>
          <w:szCs w:val="32"/>
          <w:highlight w:val="none"/>
        </w:rPr>
        <w:t>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w:t>
      </w:r>
      <w:r>
        <w:rPr>
          <w:rFonts w:hint="eastAsia" w:ascii="仿宋" w:hAnsi="仿宋" w:eastAsia="仿宋"/>
          <w:b/>
          <w:bCs/>
          <w:color w:val="auto"/>
          <w:sz w:val="32"/>
          <w:szCs w:val="32"/>
          <w:highlight w:val="none"/>
        </w:rPr>
        <w:t>公用经费</w:t>
      </w:r>
      <w:r>
        <w:rPr>
          <w:rFonts w:hint="eastAsia" w:ascii="仿宋" w:hAnsi="仿宋" w:eastAsia="仿宋"/>
          <w:color w:val="auto"/>
          <w:sz w:val="32"/>
          <w:szCs w:val="32"/>
          <w:highlight w:val="none"/>
          <w:lang w:val="en-US" w:eastAsia="zh-CN"/>
        </w:rPr>
        <w:t>120.2</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eastAsia="zh-CN"/>
        </w:rPr>
        <w:t>水费、电费、</w:t>
      </w:r>
      <w:r>
        <w:rPr>
          <w:rFonts w:hint="eastAsia" w:ascii="仿宋" w:hAnsi="仿宋" w:eastAsia="仿宋"/>
          <w:color w:val="auto"/>
          <w:sz w:val="32"/>
          <w:szCs w:val="32"/>
          <w:highlight w:val="none"/>
        </w:rPr>
        <w:t>邮电费、差旅费、维修（护）费、会议费、劳务费、委托业务费、工会经费、</w:t>
      </w:r>
      <w:r>
        <w:rPr>
          <w:rFonts w:hint="eastAsia" w:ascii="仿宋" w:hAnsi="仿宋" w:eastAsia="仿宋"/>
          <w:color w:val="auto"/>
          <w:sz w:val="32"/>
          <w:szCs w:val="32"/>
          <w:highlight w:val="none"/>
          <w:lang w:eastAsia="zh-CN"/>
        </w:rPr>
        <w:t>福利费、</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、其他商品和服务支出等。</w:t>
      </w:r>
    </w:p>
    <w:p w14:paraId="18B0519F">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2B2925BB">
      <w:pPr>
        <w:spacing w:line="600" w:lineRule="exact"/>
        <w:ind w:firstLine="640"/>
        <w:rPr>
          <w:rFonts w:ascii="仿宋" w:hAnsi="仿宋" w:eastAsia="仿宋"/>
          <w:b/>
          <w:color w:val="FF0000"/>
          <w:sz w:val="32"/>
          <w:szCs w:val="32"/>
          <w:highlight w:val="none"/>
        </w:rPr>
      </w:pPr>
    </w:p>
    <w:p w14:paraId="1B96D960">
      <w:pPr>
        <w:spacing w:line="600" w:lineRule="exact"/>
        <w:ind w:firstLine="640"/>
        <w:outlineLvl w:val="1"/>
        <w:rPr>
          <w:rStyle w:val="25"/>
          <w:rFonts w:ascii="黑体" w:hAnsi="黑体" w:eastAsia="黑体"/>
          <w:b w:val="0"/>
          <w:color w:val="auto"/>
          <w:highlight w:val="none"/>
        </w:rPr>
      </w:pPr>
      <w:bookmarkStart w:id="76" w:name="_Toc15377215"/>
      <w:bookmarkStart w:id="77" w:name="_Toc4122"/>
      <w:bookmarkStart w:id="78"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76"/>
      <w:bookmarkEnd w:id="77"/>
      <w:bookmarkEnd w:id="78"/>
    </w:p>
    <w:p w14:paraId="619353B4">
      <w:pPr>
        <w:spacing w:line="600" w:lineRule="exact"/>
        <w:ind w:firstLine="640"/>
        <w:outlineLvl w:val="2"/>
        <w:rPr>
          <w:rFonts w:ascii="仿宋" w:hAnsi="仿宋" w:eastAsia="仿宋"/>
          <w:b/>
          <w:color w:val="auto"/>
          <w:sz w:val="32"/>
          <w:szCs w:val="32"/>
          <w:highlight w:val="none"/>
        </w:rPr>
      </w:pPr>
      <w:bookmarkStart w:id="79" w:name="_Toc15377216"/>
      <w:r>
        <w:rPr>
          <w:rFonts w:hint="eastAsia" w:ascii="仿宋" w:hAnsi="仿宋" w:eastAsia="仿宋"/>
          <w:b/>
          <w:color w:val="auto"/>
          <w:sz w:val="32"/>
          <w:szCs w:val="32"/>
          <w:highlight w:val="none"/>
        </w:rPr>
        <w:t>（一）“三公”经费财政拨款支出决算总体情况说明</w:t>
      </w:r>
      <w:bookmarkEnd w:id="79"/>
    </w:p>
    <w:p w14:paraId="7055EC59">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公务接待无支出</w:t>
      </w:r>
      <w:r>
        <w:rPr>
          <w:rFonts w:hint="eastAsia" w:ascii="仿宋" w:hAnsi="仿宋" w:eastAsia="仿宋"/>
          <w:color w:val="auto"/>
          <w:sz w:val="32"/>
          <w:szCs w:val="32"/>
          <w:highlight w:val="none"/>
        </w:rPr>
        <w:t>。</w:t>
      </w:r>
    </w:p>
    <w:p w14:paraId="1F5A27B0">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（注：上述“预算”口径为调整预算数，包括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4D34DA27">
      <w:pPr>
        <w:spacing w:line="600" w:lineRule="exact"/>
        <w:ind w:firstLine="640"/>
        <w:outlineLvl w:val="2"/>
        <w:rPr>
          <w:rFonts w:ascii="仿宋" w:hAnsi="仿宋" w:eastAsia="仿宋"/>
          <w:b/>
          <w:color w:val="auto"/>
          <w:sz w:val="32"/>
          <w:szCs w:val="32"/>
          <w:highlight w:val="none"/>
        </w:rPr>
      </w:pPr>
      <w:bookmarkStart w:id="80" w:name="_Toc15377217"/>
      <w:r>
        <w:rPr>
          <w:rFonts w:hint="eastAsia" w:ascii="仿宋" w:hAnsi="仿宋" w:eastAsia="仿宋"/>
          <w:b/>
          <w:color w:val="auto"/>
          <w:sz w:val="32"/>
          <w:szCs w:val="32"/>
          <w:highlight w:val="none"/>
        </w:rPr>
        <w:t>（二）“三公”经费财政拨款支出决算具体情况说明</w:t>
      </w:r>
      <w:bookmarkEnd w:id="80"/>
    </w:p>
    <w:p w14:paraId="14DCB1A4">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418BB0ED">
      <w:pPr>
        <w:pStyle w:val="2"/>
        <w:rPr>
          <w:rFonts w:hint="eastAsia" w:ascii="仿宋" w:hAnsi="仿宋" w:eastAsia="仿宋"/>
          <w:color w:val="FF0000"/>
          <w:sz w:val="32"/>
          <w:szCs w:val="32"/>
          <w:highlight w:val="none"/>
        </w:rPr>
      </w:pPr>
      <w:r>
        <w:rPr>
          <w:rFonts w:hint="eastAsia" w:eastAsiaTheme="minorEastAsia"/>
          <w:color w:val="FF0000"/>
          <w:lang w:eastAsia="zh-CN"/>
        </w:rPr>
        <w:drawing>
          <wp:inline distT="0" distB="0" distL="114300" distR="114300">
            <wp:extent cx="4948555" cy="3667125"/>
            <wp:effectExtent l="4445" t="4445" r="1905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423823">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1557F999">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人。主要原因是</w:t>
      </w:r>
      <w:r>
        <w:rPr>
          <w:rFonts w:hint="eastAsia" w:ascii="仿宋_GB2312" w:eastAsia="仿宋_GB2312"/>
          <w:color w:val="auto"/>
          <w:sz w:val="32"/>
          <w:szCs w:val="32"/>
          <w:highlight w:val="none"/>
          <w:lang w:eastAsia="zh-CN"/>
        </w:rPr>
        <w:t>无预算无安排</w:t>
      </w:r>
      <w:r>
        <w:rPr>
          <w:rFonts w:hint="eastAsia" w:ascii="仿宋_GB2312" w:eastAsia="仿宋_GB2312"/>
          <w:color w:val="auto"/>
          <w:sz w:val="32"/>
          <w:szCs w:val="32"/>
          <w:highlight w:val="none"/>
        </w:rPr>
        <w:t>。</w:t>
      </w:r>
    </w:p>
    <w:p w14:paraId="733E1AD8">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无年初预算无支出</w:t>
      </w:r>
      <w:r>
        <w:rPr>
          <w:rFonts w:hint="eastAsia" w:ascii="仿宋_GB2312" w:eastAsia="仿宋_GB2312"/>
          <w:color w:val="auto"/>
          <w:sz w:val="32"/>
          <w:szCs w:val="32"/>
          <w:highlight w:val="none"/>
        </w:rPr>
        <w:t>。</w:t>
      </w:r>
    </w:p>
    <w:p w14:paraId="5422D015">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05E10D8">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3A0B566">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年初预算无支出</w:t>
      </w:r>
      <w:r>
        <w:rPr>
          <w:rFonts w:hint="eastAsia" w:ascii="仿宋_GB2312" w:eastAsia="仿宋_GB2312"/>
          <w:color w:val="auto"/>
          <w:sz w:val="32"/>
          <w:szCs w:val="32"/>
          <w:highlight w:val="none"/>
        </w:rPr>
        <w:t>。其中：</w:t>
      </w:r>
    </w:p>
    <w:p w14:paraId="6F8F1C80">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7EF5967">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3B9B1C1">
      <w:pPr>
        <w:spacing w:line="600" w:lineRule="exact"/>
        <w:ind w:firstLine="640"/>
        <w:outlineLvl w:val="1"/>
        <w:rPr>
          <w:rFonts w:ascii="黑体" w:eastAsia="黑体"/>
          <w:color w:val="FF0000"/>
          <w:sz w:val="32"/>
          <w:szCs w:val="32"/>
          <w:highlight w:val="none"/>
        </w:rPr>
      </w:pPr>
      <w:bookmarkStart w:id="81" w:name="_Toc15396610"/>
      <w:bookmarkStart w:id="82" w:name="_Toc15377218"/>
    </w:p>
    <w:p w14:paraId="2E79F085">
      <w:pPr>
        <w:spacing w:line="600" w:lineRule="exact"/>
        <w:ind w:firstLine="640"/>
        <w:outlineLvl w:val="1"/>
        <w:rPr>
          <w:rStyle w:val="25"/>
          <w:rFonts w:ascii="黑体" w:hAnsi="黑体" w:eastAsia="黑体"/>
          <w:color w:val="auto"/>
          <w:highlight w:val="none"/>
        </w:rPr>
      </w:pPr>
      <w:bookmarkStart w:id="83" w:name="_Toc12043"/>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81"/>
      <w:bookmarkEnd w:id="82"/>
      <w:bookmarkEnd w:id="83"/>
    </w:p>
    <w:p w14:paraId="10CF3DA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185.4</w:t>
      </w:r>
      <w:r>
        <w:rPr>
          <w:rFonts w:hint="eastAsia" w:ascii="仿宋_GB2312" w:eastAsia="仿宋_GB2312"/>
          <w:color w:val="auto"/>
          <w:sz w:val="32"/>
          <w:szCs w:val="32"/>
          <w:highlight w:val="none"/>
        </w:rPr>
        <w:t>万元。</w:t>
      </w:r>
    </w:p>
    <w:p w14:paraId="245B54BF">
      <w:pPr>
        <w:spacing w:line="600" w:lineRule="exact"/>
        <w:ind w:firstLine="640"/>
        <w:rPr>
          <w:rFonts w:ascii="仿宋_GB2312" w:eastAsia="仿宋_GB2312"/>
          <w:color w:val="FF0000"/>
          <w:sz w:val="32"/>
          <w:szCs w:val="32"/>
          <w:highlight w:val="none"/>
        </w:rPr>
      </w:pPr>
    </w:p>
    <w:p w14:paraId="39457C80">
      <w:pPr>
        <w:numPr>
          <w:ilvl w:val="0"/>
          <w:numId w:val="2"/>
        </w:numPr>
        <w:spacing w:line="600" w:lineRule="exact"/>
        <w:ind w:firstLine="640"/>
        <w:outlineLvl w:val="1"/>
        <w:rPr>
          <w:rStyle w:val="25"/>
          <w:rFonts w:ascii="黑体" w:hAnsi="黑体" w:eastAsia="黑体"/>
          <w:b w:val="0"/>
          <w:color w:val="auto"/>
          <w:highlight w:val="none"/>
        </w:rPr>
      </w:pPr>
      <w:bookmarkStart w:id="84" w:name="_Toc13358"/>
      <w:bookmarkStart w:id="85" w:name="_Toc15377219"/>
      <w:bookmarkStart w:id="86" w:name="_Toc15396611"/>
      <w:r>
        <w:rPr>
          <w:rStyle w:val="25"/>
          <w:rFonts w:hint="eastAsia" w:ascii="黑体" w:hAnsi="黑体" w:eastAsia="黑体"/>
          <w:b w:val="0"/>
          <w:color w:val="auto"/>
          <w:highlight w:val="none"/>
        </w:rPr>
        <w:t>国有资本经营预算支出决算情况说明</w:t>
      </w:r>
      <w:bookmarkEnd w:id="84"/>
      <w:bookmarkEnd w:id="85"/>
      <w:bookmarkEnd w:id="86"/>
    </w:p>
    <w:p w14:paraId="05EFB41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94EBC23">
      <w:pPr>
        <w:spacing w:line="580" w:lineRule="exact"/>
        <w:jc w:val="center"/>
        <w:rPr>
          <w:rFonts w:ascii="方正小标宋简体" w:hAnsi="方正小标宋简体" w:eastAsia="方正小标宋简体" w:cs="方正小标宋简体"/>
          <w:color w:val="FF0000"/>
          <w:sz w:val="44"/>
          <w:szCs w:val="44"/>
          <w:highlight w:val="none"/>
        </w:rPr>
      </w:pPr>
    </w:p>
    <w:p w14:paraId="53905B29">
      <w:pPr>
        <w:numPr>
          <w:ilvl w:val="0"/>
          <w:numId w:val="2"/>
        </w:numPr>
        <w:spacing w:line="600" w:lineRule="exact"/>
        <w:ind w:firstLine="640"/>
        <w:outlineLvl w:val="1"/>
        <w:rPr>
          <w:rStyle w:val="25"/>
          <w:rFonts w:hint="eastAsia" w:ascii="黑体" w:hAnsi="黑体" w:eastAsia="黑体"/>
          <w:b w:val="0"/>
          <w:color w:val="auto"/>
          <w:highlight w:val="none"/>
        </w:rPr>
      </w:pPr>
      <w:bookmarkStart w:id="87" w:name="_Toc15377221"/>
      <w:bookmarkStart w:id="88" w:name="_Toc15396612"/>
      <w:bookmarkStart w:id="89" w:name="_Toc10195"/>
      <w:r>
        <w:rPr>
          <w:rStyle w:val="25"/>
          <w:rFonts w:hint="eastAsia" w:ascii="黑体" w:hAnsi="黑体" w:eastAsia="黑体"/>
          <w:b w:val="0"/>
          <w:color w:val="auto"/>
          <w:highlight w:val="none"/>
        </w:rPr>
        <w:t>其他重要事项的情况说明</w:t>
      </w:r>
      <w:bookmarkEnd w:id="87"/>
      <w:bookmarkEnd w:id="88"/>
      <w:bookmarkEnd w:id="89"/>
    </w:p>
    <w:p w14:paraId="644D5285">
      <w:pPr>
        <w:spacing w:line="600" w:lineRule="exact"/>
        <w:ind w:firstLine="643" w:firstLineChars="200"/>
        <w:outlineLvl w:val="2"/>
        <w:rPr>
          <w:rFonts w:ascii="仿宋" w:hAnsi="仿宋" w:eastAsia="仿宋"/>
          <w:color w:val="auto"/>
          <w:sz w:val="32"/>
          <w:szCs w:val="32"/>
          <w:highlight w:val="none"/>
        </w:rPr>
      </w:pPr>
      <w:bookmarkStart w:id="90" w:name="_Toc15377222"/>
      <w:r>
        <w:rPr>
          <w:rFonts w:hint="eastAsia" w:ascii="仿宋" w:hAnsi="仿宋" w:eastAsia="仿宋"/>
          <w:b/>
          <w:color w:val="auto"/>
          <w:sz w:val="32"/>
          <w:szCs w:val="32"/>
          <w:highlight w:val="none"/>
        </w:rPr>
        <w:t>（一）机关运行经费支出情况</w:t>
      </w:r>
      <w:bookmarkEnd w:id="90"/>
    </w:p>
    <w:p w14:paraId="61A977FC">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北固镇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120.2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val="en-US" w:eastAsia="zh-CN"/>
        </w:rPr>
        <w:t>2021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23.41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24.19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车补计入公用经费。</w:t>
      </w:r>
    </w:p>
    <w:p w14:paraId="231C1001">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6ACD14D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1" w:name="_Toc15377223"/>
      <w:r>
        <w:rPr>
          <w:rFonts w:hint="eastAsia" w:ascii="仿宋" w:hAnsi="仿宋" w:eastAsia="仿宋"/>
          <w:b/>
          <w:color w:val="auto"/>
          <w:sz w:val="32"/>
          <w:szCs w:val="32"/>
          <w:highlight w:val="none"/>
        </w:rPr>
        <w:t>（二）政府采购支出情况</w:t>
      </w:r>
      <w:bookmarkEnd w:id="91"/>
    </w:p>
    <w:p w14:paraId="2C41598B">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北固镇</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5F2C2A4">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186C17D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2" w:name="_Toc15377224"/>
      <w:r>
        <w:rPr>
          <w:rFonts w:hint="eastAsia" w:ascii="仿宋" w:hAnsi="仿宋" w:eastAsia="仿宋"/>
          <w:b/>
          <w:color w:val="auto"/>
          <w:sz w:val="32"/>
          <w:szCs w:val="32"/>
          <w:highlight w:val="none"/>
        </w:rPr>
        <w:t>（三）国有资产占有使用情况</w:t>
      </w:r>
      <w:bookmarkEnd w:id="92"/>
    </w:p>
    <w:p w14:paraId="1AEFC67D">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北固镇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3辆、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34B0D94">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2DFE81AB">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30B42643">
      <w:pPr>
        <w:pStyle w:val="2"/>
        <w:ind w:firstLine="640" w:firstLineChars="200"/>
        <w:rPr>
          <w:rFonts w:ascii="仿宋_GB2312" w:eastAsia="仿宋_GB2312"/>
          <w:b/>
          <w:color w:val="FF0000"/>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eastAsia="zh-CN"/>
        </w:rPr>
        <w:t>村社区在职干部经费、环卫工人员经费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40F58AE1">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93" w:name="_Toc15396613"/>
      <w:bookmarkStart w:id="94" w:name="_Toc2278"/>
      <w:bookmarkStart w:id="95"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93"/>
      <w:bookmarkEnd w:id="94"/>
      <w:bookmarkEnd w:id="95"/>
    </w:p>
    <w:p w14:paraId="37C2F295">
      <w:pPr>
        <w:spacing w:line="600" w:lineRule="exact"/>
        <w:jc w:val="left"/>
        <w:rPr>
          <w:rFonts w:ascii="宋体"/>
          <w:b/>
          <w:color w:val="auto"/>
          <w:sz w:val="44"/>
          <w:szCs w:val="44"/>
          <w:highlight w:val="none"/>
        </w:rPr>
      </w:pPr>
    </w:p>
    <w:p w14:paraId="759CC843">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5E44114">
      <w:pPr>
        <w:pStyle w:val="22"/>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eastAsia="zh-CN"/>
        </w:rPr>
        <w:t>主要是利息收入。</w:t>
      </w:r>
    </w:p>
    <w:p w14:paraId="3661CA7D">
      <w:pPr>
        <w:spacing w:beforeLines="0" w:afterLines="0" w:line="576" w:lineRule="exact"/>
        <w:ind w:firstLine="640"/>
        <w:rPr>
          <w:rFonts w:hint="eastAsia" w:ascii="仿宋_GB2312" w:eastAsia="仿宋_GB2312"/>
          <w:color w:val="auto"/>
          <w:sz w:val="32"/>
          <w:szCs w:val="32"/>
          <w:highlight w:val="none"/>
          <w:lang w:eastAsia="zh-CN"/>
        </w:rPr>
      </w:pPr>
      <w:r>
        <w:rPr>
          <w:rFonts w:hint="eastAsia" w:ascii="仿宋_GB2312" w:hAnsi="仿宋_GB2312" w:eastAsia="仿宋_GB2312"/>
          <w:color w:val="auto"/>
          <w:sz w:val="32"/>
          <w:szCs w:val="24"/>
          <w:lang w:val="en-US" w:eastAsia="zh-CN"/>
        </w:rPr>
        <w:t>3</w:t>
      </w:r>
      <w:r>
        <w:rPr>
          <w:rFonts w:hint="eastAsia" w:ascii="仿宋_GB2312" w:hAnsi="仿宋_GB2312" w:eastAsia="仿宋_GB2312"/>
          <w:color w:val="auto"/>
          <w:sz w:val="32"/>
          <w:szCs w:val="24"/>
          <w:lang w:val="en-US"/>
        </w:rPr>
        <w:t>.年末结转和结余：指单位按有关规定结转到下年或以后年度继续使用的资金。</w:t>
      </w:r>
    </w:p>
    <w:p w14:paraId="31534650">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Calibri" w:eastAsia="仿宋_GB2312" w:cs="仿宋"/>
          <w:color w:val="auto"/>
          <w:kern w:val="0"/>
          <w:sz w:val="32"/>
          <w:szCs w:val="32"/>
          <w:highlight w:val="none"/>
          <w:lang w:val="en-US" w:eastAsia="zh-CN" w:bidi="ar-SA"/>
        </w:rPr>
        <w:t>4.一般公共服务支出（类）人大事务（款）其他人大事务支出（项）: 指反映除上</w:t>
      </w:r>
      <w:r>
        <w:rPr>
          <w:rFonts w:hint="eastAsia" w:ascii="仿宋_GB2312" w:hAnsi="仿宋_GB2312" w:eastAsia="仿宋_GB2312" w:cs="仿宋_GB2312"/>
          <w:color w:val="auto"/>
          <w:sz w:val="32"/>
          <w:szCs w:val="32"/>
        </w:rPr>
        <w:t>述项目以外的其他</w:t>
      </w:r>
      <w:r>
        <w:rPr>
          <w:rFonts w:hint="eastAsia" w:ascii="仿宋_GB2312" w:hAnsi="仿宋_GB2312" w:eastAsia="仿宋_GB2312" w:cs="仿宋_GB2312"/>
          <w:color w:val="auto"/>
          <w:sz w:val="32"/>
          <w:szCs w:val="32"/>
          <w:lang w:eastAsia="zh-CN"/>
        </w:rPr>
        <w:t>人大</w:t>
      </w:r>
      <w:r>
        <w:rPr>
          <w:rFonts w:hint="eastAsia" w:ascii="仿宋_GB2312" w:hAnsi="仿宋_GB2312" w:eastAsia="仿宋_GB2312" w:cs="仿宋_GB2312"/>
          <w:color w:val="auto"/>
          <w:sz w:val="32"/>
          <w:szCs w:val="32"/>
        </w:rPr>
        <w:t>事务支出</w:t>
      </w:r>
      <w:r>
        <w:rPr>
          <w:rFonts w:hint="eastAsia" w:ascii="仿宋_GB2312" w:hAnsi="仿宋_GB2312" w:eastAsia="仿宋_GB2312" w:cs="仿宋_GB2312"/>
          <w:color w:val="auto"/>
          <w:sz w:val="32"/>
          <w:szCs w:val="32"/>
          <w:lang w:eastAsia="zh-CN"/>
        </w:rPr>
        <w:t>。</w:t>
      </w:r>
    </w:p>
    <w:p w14:paraId="12C2F26A">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5.一般公共服务支出（类）政府办公厅（室）及相关机构事务（款） 行政运行（项）：反映行政单位（包括实行公务员管理的事业单位）的基本支出。</w:t>
      </w:r>
    </w:p>
    <w:p w14:paraId="1C5D1E57">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6.一般公共服务支出（类）政府办公厅（室）及相关机构事务（款）一般行政管理事务项（项）：反映行政单位（包括实行公务员管理的事业单位）未单独设置项级科目的其他项目支出。</w:t>
      </w:r>
    </w:p>
    <w:p w14:paraId="67FE9E4A">
      <w:pPr>
        <w:spacing w:line="600" w:lineRule="exact"/>
        <w:ind w:firstLine="640" w:firstLineChars="200"/>
        <w:rPr>
          <w:rFonts w:hint="eastAsia"/>
          <w:color w:val="auto"/>
          <w:lang w:val="en-US" w:eastAsia="zh-CN"/>
        </w:rPr>
      </w:pPr>
      <w:r>
        <w:rPr>
          <w:rFonts w:hint="eastAsia" w:ascii="仿宋_GB2312" w:hAnsi="Calibri" w:eastAsia="仿宋_GB2312" w:cs="仿宋"/>
          <w:color w:val="auto"/>
          <w:kern w:val="0"/>
          <w:sz w:val="32"/>
          <w:szCs w:val="32"/>
          <w:highlight w:val="none"/>
          <w:lang w:val="en-US" w:eastAsia="zh-CN" w:bidi="ar-SA"/>
        </w:rPr>
        <w:t>7.一般公共服务支出（类）政府办公厅（室）及相关机构事务（款）信访事务（项）：反映各级政府用于接待群众来信来访方面的支出。</w:t>
      </w:r>
    </w:p>
    <w:p w14:paraId="13D557E5">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8.一般公共服务支出（类）政府办公厅（室）及相关机构事务（款）事业运行（项）：反映事业单位的基本支出，不包括行政单位（包括实行公务员管理的事业单位）后勤服务中心、医务室等附属事业单位。</w:t>
      </w:r>
    </w:p>
    <w:p w14:paraId="43DC00EC">
      <w:pPr>
        <w:spacing w:line="600" w:lineRule="exact"/>
        <w:ind w:firstLine="640" w:firstLineChars="200"/>
        <w:rPr>
          <w:rFonts w:hint="eastAsia"/>
          <w:lang w:eastAsia="zh-CN"/>
        </w:rPr>
      </w:pPr>
      <w:r>
        <w:rPr>
          <w:rFonts w:hint="eastAsia" w:ascii="仿宋_GB2312" w:hAnsi="Calibri" w:eastAsia="仿宋_GB2312" w:cs="仿宋"/>
          <w:color w:val="auto"/>
          <w:kern w:val="0"/>
          <w:sz w:val="32"/>
          <w:szCs w:val="32"/>
          <w:highlight w:val="none"/>
          <w:lang w:val="en-US" w:eastAsia="zh-CN" w:bidi="ar-SA"/>
        </w:rPr>
        <w:t>9.一般公共服务支出（类）纪检监察事务（款）一般行政管理事务（项）：反映行政单位（包括实行公务员管理的事业单位）的未单独设置项级科目的其他项目支出。</w:t>
      </w:r>
    </w:p>
    <w:p w14:paraId="3DEF8F7D">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10.一般公共服务支出（类）群众团体事务（款）一般行政管理事务（项）：反映行政单位（包括实行公务员管理的事业单位）未单独设置项级科目的其他项目支出。</w:t>
      </w:r>
    </w:p>
    <w:p w14:paraId="75CF6B93">
      <w:pPr>
        <w:spacing w:line="600" w:lineRule="exact"/>
        <w:ind w:firstLine="640"/>
        <w:rPr>
          <w:rFonts w:hint="eastAsia"/>
          <w:lang w:val="en-US" w:eastAsia="zh-CN"/>
        </w:rPr>
      </w:pPr>
      <w:r>
        <w:rPr>
          <w:rFonts w:hint="eastAsia" w:ascii="仿宋_GB2312" w:hAnsi="仿宋_GB2312" w:eastAsia="仿宋_GB2312" w:cs="仿宋_GB2312"/>
          <w:color w:val="auto"/>
          <w:sz w:val="32"/>
          <w:szCs w:val="32"/>
          <w:lang w:val="en-US" w:eastAsia="zh-CN"/>
        </w:rPr>
        <w:t>11.一般公共服务支出（类）群众团体事务（款）其他群众团体事务支出（项）：反映用于上述项目以外其他用于群体团体事务方面的支出。</w:t>
      </w:r>
    </w:p>
    <w:p w14:paraId="22587E55">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12.一般公共服务支出（类）组织事务（款）其他组织事务支出（项）：反映用于上述项目以外其他用于中国共产党组织部门的事务支出。</w:t>
      </w:r>
    </w:p>
    <w:p w14:paraId="4E130B98">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13.一般公共服务支出（类）市场监督管理事务（款）事业运行（项）：</w:t>
      </w:r>
      <w:r>
        <w:rPr>
          <w:rFonts w:hint="eastAsia" w:ascii="仿宋_GB2312" w:hAnsi="Calibri" w:eastAsia="仿宋_GB2312" w:cs="仿宋"/>
          <w:color w:val="auto"/>
          <w:kern w:val="0"/>
          <w:sz w:val="32"/>
          <w:szCs w:val="32"/>
          <w:highlight w:val="none"/>
          <w:lang w:val="en-US" w:eastAsia="zh-CN" w:bidi="ar-SA"/>
        </w:rPr>
        <w:t>反映事业单位的基本支出，不包括行政单位（包括实行公务员管理的事业单位）后勤服务中心、医务室等附属事业单位。</w:t>
      </w:r>
    </w:p>
    <w:p w14:paraId="69E3E29F">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14.一般公共服务支出（类）市场监督管理事务（款）其他市场监督管理事务（项）：反映用于上述项目以外其他市场监督管理事务方面的支出。</w:t>
      </w:r>
    </w:p>
    <w:p w14:paraId="47E5CE67">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15.教育支出（类）普通教育（款）其他普通教育支出（项）：反映除上述项目以外其他用于普通教育方面的支出。</w:t>
      </w:r>
    </w:p>
    <w:p w14:paraId="5DCCAD26">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16.文化旅游体育与传媒支出（类）文化和旅游（款）行政运行（项）: </w:t>
      </w:r>
      <w:r>
        <w:rPr>
          <w:rFonts w:hint="eastAsia" w:ascii="仿宋_GB2312" w:hAnsi="Calibri" w:eastAsia="仿宋_GB2312" w:cs="仿宋"/>
          <w:color w:val="auto"/>
          <w:kern w:val="0"/>
          <w:sz w:val="32"/>
          <w:szCs w:val="32"/>
          <w:highlight w:val="none"/>
          <w:lang w:val="en-US" w:eastAsia="zh-CN" w:bidi="ar-SA"/>
        </w:rPr>
        <w:t>反映行政单位（包括实行公务员管理的事业单位）的基本支出。</w:t>
      </w:r>
    </w:p>
    <w:p w14:paraId="72D078A3">
      <w:pPr>
        <w:spacing w:line="600" w:lineRule="exact"/>
        <w:ind w:firstLine="640"/>
        <w:rPr>
          <w:rFonts w:hint="eastAsia"/>
          <w:lang w:val="en-US" w:eastAsia="zh-CN"/>
        </w:rPr>
      </w:pPr>
      <w:r>
        <w:rPr>
          <w:rFonts w:hint="eastAsia" w:ascii="仿宋_GB2312" w:hAnsi="仿宋_GB2312" w:eastAsia="仿宋_GB2312" w:cs="仿宋_GB2312"/>
          <w:color w:val="auto"/>
          <w:sz w:val="32"/>
          <w:szCs w:val="32"/>
          <w:lang w:val="en-US" w:eastAsia="zh-CN"/>
        </w:rPr>
        <w:t xml:space="preserve">17.文化旅游体育与传媒支出（类）文化和旅游（款）文化活动（项）: </w:t>
      </w:r>
      <w:r>
        <w:rPr>
          <w:rFonts w:hint="eastAsia" w:ascii="仿宋_GB2312" w:hAnsi="Calibri" w:eastAsia="仿宋_GB2312" w:cs="仿宋"/>
          <w:color w:val="auto"/>
          <w:kern w:val="0"/>
          <w:sz w:val="32"/>
          <w:szCs w:val="32"/>
          <w:highlight w:val="none"/>
          <w:lang w:val="en-US" w:eastAsia="zh-CN" w:bidi="ar-SA"/>
        </w:rPr>
        <w:t>反映举办大型文化艺术活动的支出。</w:t>
      </w:r>
    </w:p>
    <w:p w14:paraId="208103F3">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18.文化旅游体育与传媒支出（类）文化和旅游（款）群众文化（项）: 反映群众文化方面的支出，包括基层文化馆（站）、群众艺术馆支出等。</w:t>
      </w:r>
    </w:p>
    <w:p w14:paraId="63806D98">
      <w:pPr>
        <w:spacing w:line="600" w:lineRule="exact"/>
        <w:ind w:firstLine="640"/>
        <w:rPr>
          <w:rFonts w:hint="eastAsia"/>
          <w:lang w:val="en-US" w:eastAsia="zh-CN"/>
        </w:rPr>
      </w:pPr>
      <w:r>
        <w:rPr>
          <w:rFonts w:hint="eastAsia" w:ascii="仿宋_GB2312" w:hAnsi="仿宋_GB2312" w:eastAsia="仿宋_GB2312" w:cs="仿宋_GB2312"/>
          <w:color w:val="auto"/>
          <w:sz w:val="32"/>
          <w:szCs w:val="32"/>
          <w:lang w:val="en-US" w:eastAsia="zh-CN"/>
        </w:rPr>
        <w:t>19.文化旅游体育与传媒支出（类）文化和旅游（款）其他文化和旅游支出（项）: 反映除上述项目以外其他用于文化和旅游方面的支出。</w:t>
      </w:r>
    </w:p>
    <w:p w14:paraId="23A132BF">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20.文化旅游体育与传媒支出（类）广播电视（款）其他广播电视支出（项）：除上述项目以外其他用于广播电视方面的支出。</w:t>
      </w:r>
    </w:p>
    <w:p w14:paraId="054A415C">
      <w:pPr>
        <w:spacing w:line="600" w:lineRule="exact"/>
        <w:ind w:firstLine="640"/>
        <w:rPr>
          <w:rFonts w:hint="eastAsia"/>
          <w:color w:val="auto"/>
          <w:lang w:val="en-US" w:eastAsia="zh-CN"/>
        </w:rPr>
      </w:pPr>
      <w:r>
        <w:rPr>
          <w:rFonts w:hint="eastAsia" w:ascii="仿宋_GB2312" w:hAnsi="仿宋_GB2312" w:eastAsia="仿宋_GB2312" w:cs="仿宋_GB2312"/>
          <w:color w:val="auto"/>
          <w:sz w:val="32"/>
          <w:szCs w:val="32"/>
          <w:lang w:val="en-US" w:eastAsia="zh-CN"/>
        </w:rPr>
        <w:t>21.文化旅游体育与传媒支出（类）其他文化旅游体育与传媒支出（款）其他文化旅游体育与传媒支出（项）: 反映除上述项目以外其他文化旅游体育与传媒方面的支出。</w:t>
      </w:r>
    </w:p>
    <w:p w14:paraId="18DCEF21">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22.社会保障和就业支出（类）行政事业单位养老支出（款） 行政单位离退休（项）：反映行政单位（包括实行公务员管理的事业单位）开支的离退休经费。</w:t>
      </w:r>
    </w:p>
    <w:p w14:paraId="7B45C29F">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23.社会保障和就业支出（类）行政事业单位养老支出（款） 事业单位离退休（项）：反映事业单位开支的离退休经费。</w:t>
      </w:r>
    </w:p>
    <w:p w14:paraId="116B7EA1">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24.社会保障和就业支出（类）行政事业单位养老支出（款） 机关事业单位基本养老保险缴费支出（项）：反映机关事业单位实施养老保险制度由单位缴纳的基本养老保险费支出。</w:t>
      </w:r>
    </w:p>
    <w:p w14:paraId="1393FF84">
      <w:pPr>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25.社会保障和就业支出（类）行政事业单位养老支出（款） 机关事业单位职业年金缴费支出（项）：反映机关事业单位实施养老保险制度由单位实际缴纳的职业年金支出。</w:t>
      </w:r>
    </w:p>
    <w:p w14:paraId="0D3018AF">
      <w:pPr>
        <w:pStyle w:val="2"/>
        <w:rPr>
          <w:rFonts w:hint="default"/>
          <w:lang w:val="en-US" w:eastAsia="zh-CN"/>
        </w:rPr>
      </w:pPr>
    </w:p>
    <w:p w14:paraId="261E9CAA">
      <w:pPr>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26.社会保障和就业支出（类）抚恤（款） 死亡抚恤（项）：反映按规定用于烈士和牺牲、病故人员家属的一次性和定期抚恤金、丧葬补助费以及烈士褒扬金。</w:t>
      </w:r>
    </w:p>
    <w:p w14:paraId="018E137D">
      <w:pPr>
        <w:keepNext w:val="0"/>
        <w:keepLines w:val="0"/>
        <w:widowControl/>
        <w:numPr>
          <w:ilvl w:val="0"/>
          <w:numId w:val="0"/>
        </w:numPr>
        <w:suppressLineNumbers w:val="0"/>
        <w:ind w:firstLine="640" w:firstLineChars="200"/>
        <w:jc w:val="left"/>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27.社会保障和就业支出（类）社会福利（款）其他社会福利支出（项）：反映除上述项目以外其他用于社会福利方面的支出。</w:t>
      </w:r>
    </w:p>
    <w:p w14:paraId="18F3C29D">
      <w:pPr>
        <w:keepNext w:val="0"/>
        <w:keepLines w:val="0"/>
        <w:widowControl/>
        <w:numPr>
          <w:ilvl w:val="0"/>
          <w:numId w:val="0"/>
        </w:numPr>
        <w:suppressLineNumbers w:val="0"/>
        <w:ind w:firstLine="640" w:firstLineChars="20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28.社会保障和就业支出（类）退役军人管理事务（款）机关服务（项）：反映为行政单位</w:t>
      </w:r>
      <w:r>
        <w:rPr>
          <w:rFonts w:hint="eastAsia" w:ascii="仿宋_GB2312" w:hAnsi="Calibri" w:eastAsia="仿宋_GB2312" w:cs="仿宋"/>
          <w:color w:val="auto"/>
          <w:kern w:val="0"/>
          <w:sz w:val="32"/>
          <w:szCs w:val="32"/>
          <w:highlight w:val="none"/>
          <w:lang w:val="en-US" w:eastAsia="zh-CN" w:bidi="ar-SA"/>
        </w:rPr>
        <w:t>（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706354EC">
      <w:pPr>
        <w:spacing w:line="600" w:lineRule="exact"/>
        <w:ind w:firstLine="640"/>
        <w:rPr>
          <w:rFonts w:hint="eastAsia"/>
          <w:lang w:val="en-US" w:eastAsia="zh-CN"/>
        </w:rPr>
      </w:pPr>
      <w:r>
        <w:rPr>
          <w:rFonts w:hint="eastAsia" w:ascii="仿宋_GB2312" w:hAnsi="Calibri" w:eastAsia="仿宋_GB2312" w:cs="仿宋"/>
          <w:color w:val="auto"/>
          <w:kern w:val="0"/>
          <w:sz w:val="32"/>
          <w:szCs w:val="32"/>
          <w:highlight w:val="none"/>
          <w:lang w:val="en-US" w:eastAsia="zh-CN" w:bidi="ar-SA"/>
        </w:rPr>
        <w:t>29.卫生健康支出（类）基层医疗卫生机构（款）其他基层医疗卫生机构支出（项）：</w:t>
      </w:r>
      <w:r>
        <w:rPr>
          <w:rFonts w:hint="eastAsia" w:ascii="仿宋_GB2312" w:hAnsi="仿宋_GB2312" w:eastAsia="仿宋_GB2312" w:cs="仿宋_GB2312"/>
          <w:color w:val="auto"/>
          <w:sz w:val="32"/>
          <w:szCs w:val="32"/>
          <w:lang w:val="en-US" w:eastAsia="zh-CN"/>
        </w:rPr>
        <w:t>反映除上述项目以外其他用于基层医疗卫生机构方面的支出。</w:t>
      </w:r>
    </w:p>
    <w:p w14:paraId="061DFD23">
      <w:pPr>
        <w:keepNext w:val="0"/>
        <w:keepLines w:val="0"/>
        <w:widowControl/>
        <w:numPr>
          <w:ilvl w:val="0"/>
          <w:numId w:val="0"/>
        </w:numPr>
        <w:suppressLineNumbers w:val="0"/>
        <w:ind w:firstLine="640" w:firstLineChars="20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30.卫生健康支出（类）公共卫生（款）重大公共卫生服务（项）：反映重大疾病、重大传染病预防控制等重大公共卫生服务项目支出。</w:t>
      </w:r>
    </w:p>
    <w:p w14:paraId="312E27A7">
      <w:pPr>
        <w:keepNext w:val="0"/>
        <w:keepLines w:val="0"/>
        <w:widowControl/>
        <w:numPr>
          <w:ilvl w:val="0"/>
          <w:numId w:val="0"/>
        </w:numPr>
        <w:suppressLineNumbers w:val="0"/>
        <w:ind w:firstLine="640" w:firstLineChars="200"/>
        <w:jc w:val="left"/>
        <w:rPr>
          <w:rFonts w:hint="eastAsia"/>
          <w:color w:val="auto"/>
          <w:lang w:val="en-US" w:eastAsia="zh-CN"/>
        </w:rPr>
      </w:pPr>
      <w:r>
        <w:rPr>
          <w:rFonts w:hint="eastAsia" w:ascii="仿宋_GB2312" w:hAnsi="Calibri" w:eastAsia="仿宋_GB2312" w:cs="仿宋"/>
          <w:color w:val="auto"/>
          <w:kern w:val="0"/>
          <w:sz w:val="32"/>
          <w:szCs w:val="32"/>
          <w:highlight w:val="none"/>
          <w:lang w:val="en-US" w:eastAsia="zh-CN" w:bidi="ar-SA"/>
        </w:rPr>
        <w:t>31.卫生健康支出（类）公共卫生（款）其他公共卫生支出（项）：反映除上述以外的其他用于公共卫生方面的支出。</w:t>
      </w:r>
    </w:p>
    <w:p w14:paraId="5578C7A0">
      <w:pPr>
        <w:keepNext w:val="0"/>
        <w:keepLines w:val="0"/>
        <w:widowControl/>
        <w:numPr>
          <w:ilvl w:val="0"/>
          <w:numId w:val="0"/>
        </w:numPr>
        <w:suppressLineNumbers w:val="0"/>
        <w:ind w:firstLine="640" w:firstLineChars="200"/>
        <w:jc w:val="left"/>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32.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5DC4572D">
      <w:pPr>
        <w:pStyle w:val="2"/>
        <w:ind w:firstLine="640" w:firstLineChars="200"/>
        <w:rPr>
          <w:rFonts w:hint="eastAsia" w:ascii="仿宋" w:hAnsi="仿宋" w:eastAsia="仿宋" w:cs="仿宋"/>
          <w:color w:val="auto"/>
          <w:kern w:val="0"/>
          <w:sz w:val="32"/>
          <w:szCs w:val="32"/>
          <w:lang w:val="en-US" w:eastAsia="zh-CN" w:bidi="ar"/>
        </w:rPr>
      </w:pPr>
      <w:r>
        <w:rPr>
          <w:rFonts w:hint="eastAsia" w:hAnsi="Calibri" w:cs="仿宋"/>
          <w:color w:val="auto"/>
          <w:kern w:val="0"/>
          <w:sz w:val="32"/>
          <w:szCs w:val="32"/>
          <w:highlight w:val="none"/>
          <w:lang w:val="en-US" w:eastAsia="zh-CN" w:bidi="ar-SA"/>
        </w:rPr>
        <w:t>33</w:t>
      </w:r>
      <w:r>
        <w:rPr>
          <w:rFonts w:hint="eastAsia" w:ascii="仿宋_GB2312" w:hAnsi="Calibri" w:eastAsia="仿宋_GB2312" w:cs="仿宋"/>
          <w:color w:val="auto"/>
          <w:kern w:val="0"/>
          <w:sz w:val="32"/>
          <w:szCs w:val="32"/>
          <w:highlight w:val="none"/>
          <w:lang w:val="en-US" w:eastAsia="zh-CN" w:bidi="ar-SA"/>
        </w:rPr>
        <w:t>.卫生健康支出（类）行政事业单位医疗（款）事业单位医疗（项）：</w:t>
      </w:r>
      <w:r>
        <w:rPr>
          <w:rFonts w:hint="eastAsia" w:hAnsi="仿宋_GB2312" w:cs="仿宋_GB2312"/>
          <w:color w:val="auto"/>
          <w:sz w:val="32"/>
          <w:szCs w:val="32"/>
          <w:lang w:eastAsia="zh-CN"/>
        </w:rPr>
        <w:t>反映</w:t>
      </w:r>
      <w:r>
        <w:rPr>
          <w:rFonts w:hint="eastAsia" w:ascii="仿宋_GB2312" w:hAnsi="仿宋_GB2312" w:eastAsia="仿宋_GB2312" w:cs="仿宋_GB2312"/>
          <w:color w:val="auto"/>
          <w:sz w:val="32"/>
          <w:szCs w:val="32"/>
        </w:rPr>
        <w:t>财政部门安排的事业单位基本医疗保险缴费经费，未参加医疗保险的事业单位的公费医疗经费，按国家规定享受离休人员待遇的医疗经费。</w:t>
      </w:r>
    </w:p>
    <w:p w14:paraId="42B15852">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34.节能环保支出（类）环境保护管理事务（款）一般行政管理事务（项）：</w:t>
      </w:r>
      <w:r>
        <w:rPr>
          <w:rFonts w:hint="eastAsia" w:ascii="仿宋_GB2312" w:hAnsi="仿宋_GB2312" w:eastAsia="仿宋_GB2312" w:cs="仿宋_GB2312"/>
          <w:color w:val="auto"/>
          <w:sz w:val="32"/>
          <w:szCs w:val="32"/>
          <w:lang w:val="en-US" w:eastAsia="zh-CN"/>
        </w:rPr>
        <w:t>指反映行政单位（包括实行公务员管理的事业单位）未单独设置项级科目的其他项目支出。</w:t>
      </w:r>
    </w:p>
    <w:p w14:paraId="06AE4413">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35.节能环保支出（类）污染防治（款）水体（项）：反映政府在排水、污水处理、水污染防治、湖库生态环境保护、水源地保护、国土江河综合整治、河流治理与保护、地下水修复与保护等方面的支出。</w:t>
      </w:r>
    </w:p>
    <w:p w14:paraId="7D1D0844">
      <w:pPr>
        <w:keepNext w:val="0"/>
        <w:keepLines w:val="0"/>
        <w:widowControl/>
        <w:numPr>
          <w:ilvl w:val="0"/>
          <w:numId w:val="0"/>
        </w:numPr>
        <w:suppressLineNumbers w:val="0"/>
        <w:ind w:firstLine="640" w:firstLineChars="200"/>
        <w:jc w:val="left"/>
        <w:rPr>
          <w:rFonts w:hint="eastAsia"/>
          <w:lang w:val="en-US" w:eastAsia="zh-CN"/>
        </w:rPr>
      </w:pPr>
      <w:r>
        <w:rPr>
          <w:rFonts w:hint="eastAsia" w:ascii="仿宋_GB2312" w:hAnsi="仿宋_GB2312" w:eastAsia="仿宋_GB2312" w:cs="仿宋_GB2312"/>
          <w:color w:val="auto"/>
          <w:kern w:val="0"/>
          <w:sz w:val="32"/>
          <w:szCs w:val="32"/>
          <w:lang w:val="en-US" w:eastAsia="zh-CN" w:bidi="ar-SA"/>
        </w:rPr>
        <w:t>36.节能环保支出（类）自然生态保护（款）农村环境保护（项）：反映农村环境保护方面的支出。</w:t>
      </w:r>
    </w:p>
    <w:p w14:paraId="5D82B62C">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37.城乡社区支出（类）城乡社区管理事务（款）城管执法（项）：反映城市管理综合行政执法、加强城市市容和环境卫生管理等方面的支出。</w:t>
      </w:r>
    </w:p>
    <w:p w14:paraId="5E74BFB9">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38.城乡社区支出（类）城乡社区规划与管理（款） 城乡社区规划与管理（项）：</w:t>
      </w:r>
      <w:r>
        <w:rPr>
          <w:rFonts w:hint="eastAsia" w:ascii="仿宋_GB2312" w:hAnsi="仿宋_GB2312" w:eastAsia="仿宋_GB2312" w:cs="仿宋_GB2312"/>
          <w:color w:val="auto"/>
          <w:sz w:val="32"/>
          <w:szCs w:val="32"/>
        </w:rPr>
        <w:t>指反映</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社区、防灾减灾、历史名城规划制定与管理等方面的支出。</w:t>
      </w:r>
    </w:p>
    <w:p w14:paraId="759C4337">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39.城乡社区支出（类）城乡社区环境卫生（款）城乡社区环境卫生（项）：</w:t>
      </w:r>
      <w:r>
        <w:rPr>
          <w:rFonts w:hint="eastAsia" w:ascii="仿宋_GB2312" w:hAnsi="仿宋_GB2312" w:eastAsia="仿宋_GB2312" w:cs="仿宋_GB2312"/>
          <w:color w:val="auto"/>
          <w:sz w:val="32"/>
          <w:szCs w:val="32"/>
        </w:rPr>
        <w:t>指反映</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社区道路清扫、垃圾清运</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处理、公厕建设与维护、园林绿化等方面的支出。</w:t>
      </w:r>
    </w:p>
    <w:p w14:paraId="49825CE9">
      <w:pPr>
        <w:spacing w:line="600" w:lineRule="exact"/>
        <w:ind w:firstLine="640"/>
        <w:rPr>
          <w:rFonts w:hint="eastAsia"/>
          <w:color w:val="auto"/>
          <w:lang w:val="en-US" w:eastAsia="zh-CN"/>
        </w:rPr>
      </w:pPr>
      <w:r>
        <w:rPr>
          <w:rFonts w:hint="eastAsia" w:ascii="仿宋_GB2312" w:hAnsi="仿宋_GB2312" w:eastAsia="仿宋_GB2312" w:cs="仿宋_GB2312"/>
          <w:color w:val="auto"/>
          <w:sz w:val="32"/>
          <w:szCs w:val="32"/>
          <w:lang w:val="en-US" w:eastAsia="zh-CN"/>
        </w:rPr>
        <w:t>40.城乡社区支出（类）城乡社区环境卫生（款）其他城乡社区支出（项）：</w:t>
      </w:r>
      <w:r>
        <w:rPr>
          <w:rFonts w:hint="eastAsia" w:ascii="仿宋_GB2312" w:hAnsi="仿宋_GB2312" w:eastAsia="仿宋_GB2312" w:cs="仿宋_GB2312"/>
          <w:color w:val="auto"/>
          <w:sz w:val="32"/>
          <w:szCs w:val="32"/>
          <w:lang w:eastAsia="zh-CN"/>
        </w:rPr>
        <w:t>反映除上述项目以外其他用于城乡社区方面的支出</w:t>
      </w:r>
      <w:r>
        <w:rPr>
          <w:rFonts w:hint="eastAsia" w:ascii="仿宋_GB2312" w:hAnsi="仿宋_GB2312" w:eastAsia="仿宋_GB2312" w:cs="仿宋_GB2312"/>
          <w:color w:val="auto"/>
          <w:sz w:val="32"/>
          <w:szCs w:val="32"/>
        </w:rPr>
        <w:t>。</w:t>
      </w:r>
    </w:p>
    <w:p w14:paraId="52B598C0">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41.农林水支出（类）农业农村（款） 事业运行（项）：</w:t>
      </w:r>
      <w:r>
        <w:rPr>
          <w:rFonts w:hint="eastAsia" w:ascii="仿宋_GB2312" w:hAnsi="仿宋_GB2312" w:eastAsia="仿宋_GB2312" w:cs="仿宋_GB2312"/>
          <w:color w:val="auto"/>
          <w:sz w:val="32"/>
          <w:szCs w:val="32"/>
        </w:rPr>
        <w:t>用于农业事业单位基本支出，事业单位设施、系统运行与资产维护等方面的支出。</w:t>
      </w:r>
    </w:p>
    <w:p w14:paraId="43A8A137">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42.农林水支出（类）农业农村（款）病虫害控制（项）：</w:t>
      </w:r>
      <w:r>
        <w:rPr>
          <w:rFonts w:hint="eastAsia" w:ascii="仿宋_GB2312" w:hAnsi="仿宋_GB2312" w:eastAsia="仿宋_GB2312" w:cs="仿宋_GB2312"/>
          <w:color w:val="auto"/>
          <w:sz w:val="32"/>
          <w:szCs w:val="32"/>
        </w:rPr>
        <w:t>指用于病虫鼠害及疫情监测、预报、预防、控制、检疫、防疫所需的仪器、设施、药物、疫苗、种苗，疫畜（禽、鱼、植物）防治、扑杀补偿及劳务补助、菌（毒）种保藏及动植物及其产品检疫、检测等方面的支出。</w:t>
      </w:r>
    </w:p>
    <w:p w14:paraId="0D2A8527">
      <w:pPr>
        <w:spacing w:line="60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43.农林水支出（类）农业农村（款）农业生产发展（项）：</w:t>
      </w:r>
      <w:r>
        <w:rPr>
          <w:rFonts w:hint="eastAsia" w:ascii="仿宋_GB2312" w:hAnsi="仿宋_GB2312" w:eastAsia="仿宋_GB2312" w:cs="仿宋_GB2312"/>
          <w:color w:val="auto"/>
          <w:sz w:val="32"/>
          <w:szCs w:val="32"/>
          <w:lang w:eastAsia="zh-CN"/>
        </w:rPr>
        <w:t>反映用于耕地地力保护、适度规模经营、农机购置与应用补贴、优势特色主导产业发展、畜牧水产发展、农村一二三产业融合等方面支出</w:t>
      </w:r>
      <w:r>
        <w:rPr>
          <w:rFonts w:hint="eastAsia" w:ascii="仿宋_GB2312" w:hAnsi="仿宋_GB2312" w:eastAsia="仿宋_GB2312" w:cs="仿宋_GB2312"/>
          <w:color w:val="auto"/>
          <w:sz w:val="32"/>
          <w:szCs w:val="32"/>
        </w:rPr>
        <w:t>。</w:t>
      </w:r>
    </w:p>
    <w:p w14:paraId="05B06040">
      <w:pPr>
        <w:pStyle w:val="2"/>
        <w:ind w:firstLine="640" w:firstLineChars="200"/>
        <w:rPr>
          <w:rFonts w:hint="eastAsia" w:hAnsi="仿宋_GB2312" w:cs="仿宋_GB2312"/>
          <w:color w:val="auto"/>
          <w:kern w:val="2"/>
          <w:sz w:val="32"/>
          <w:szCs w:val="32"/>
          <w:lang w:val="en-US" w:eastAsia="zh-CN" w:bidi="ar-SA"/>
        </w:rPr>
      </w:pPr>
      <w:r>
        <w:rPr>
          <w:rFonts w:hint="eastAsia" w:hAnsi="仿宋_GB2312" w:cs="仿宋_GB2312"/>
          <w:color w:val="auto"/>
          <w:kern w:val="2"/>
          <w:sz w:val="32"/>
          <w:szCs w:val="32"/>
          <w:lang w:val="en-US" w:eastAsia="zh-CN" w:bidi="ar-SA"/>
        </w:rPr>
        <w:t>44</w:t>
      </w:r>
      <w:r>
        <w:rPr>
          <w:rFonts w:hint="eastAsia" w:ascii="仿宋_GB2312" w:hAnsi="仿宋_GB2312" w:eastAsia="仿宋_GB2312" w:cs="仿宋_GB2312"/>
          <w:color w:val="auto"/>
          <w:kern w:val="2"/>
          <w:sz w:val="32"/>
          <w:szCs w:val="32"/>
          <w:lang w:val="en-US" w:eastAsia="zh-CN" w:bidi="ar-SA"/>
        </w:rPr>
        <w:t>.农林水支出（类）农业农村（款）其他农业农村支出（项）：</w:t>
      </w:r>
      <w:r>
        <w:rPr>
          <w:rFonts w:hint="eastAsia" w:hAnsi="仿宋_GB2312" w:cs="仿宋_GB2312"/>
          <w:color w:val="auto"/>
          <w:kern w:val="2"/>
          <w:sz w:val="32"/>
          <w:szCs w:val="32"/>
          <w:lang w:val="en-US" w:eastAsia="zh-CN" w:bidi="ar-SA"/>
        </w:rPr>
        <w:t>反映除上述项目以外其他用于农业农村方面的支出。</w:t>
      </w:r>
    </w:p>
    <w:p w14:paraId="73B895EA">
      <w:pPr>
        <w:pStyle w:val="2"/>
        <w:ind w:firstLine="640" w:firstLineChars="200"/>
        <w:rPr>
          <w:rFonts w:hint="eastAsia" w:hAnsi="仿宋_GB2312" w:cs="仿宋_GB2312"/>
          <w:color w:val="auto"/>
          <w:kern w:val="2"/>
          <w:sz w:val="32"/>
          <w:szCs w:val="32"/>
          <w:lang w:val="en-US" w:eastAsia="zh-CN" w:bidi="ar-SA"/>
        </w:rPr>
      </w:pPr>
      <w:r>
        <w:rPr>
          <w:rFonts w:hint="eastAsia" w:hAnsi="仿宋_GB2312" w:cs="仿宋_GB2312"/>
          <w:color w:val="auto"/>
          <w:kern w:val="2"/>
          <w:sz w:val="32"/>
          <w:szCs w:val="32"/>
          <w:lang w:val="en-US" w:eastAsia="zh-CN" w:bidi="ar-SA"/>
        </w:rPr>
        <w:t>45</w:t>
      </w:r>
      <w:r>
        <w:rPr>
          <w:rFonts w:hint="eastAsia" w:ascii="仿宋_GB2312" w:hAnsi="仿宋_GB2312" w:eastAsia="仿宋_GB2312" w:cs="仿宋_GB2312"/>
          <w:color w:val="auto"/>
          <w:kern w:val="2"/>
          <w:sz w:val="32"/>
          <w:szCs w:val="32"/>
          <w:lang w:val="en-US" w:eastAsia="zh-CN" w:bidi="ar-SA"/>
        </w:rPr>
        <w:t>.农林水支出（类）水利（款）农村水利（项）：</w:t>
      </w:r>
      <w:r>
        <w:rPr>
          <w:rFonts w:hint="eastAsia" w:hAnsi="仿宋_GB2312" w:cs="仿宋_GB2312"/>
          <w:color w:val="auto"/>
          <w:kern w:val="2"/>
          <w:sz w:val="32"/>
          <w:szCs w:val="32"/>
          <w:lang w:val="en-US" w:eastAsia="zh-CN" w:bidi="ar-SA"/>
        </w:rPr>
        <w:t>反映国家对中型灌区节水配套改造、牧区水利建设、小型水源建设、农村河塘整治以及排灌站、小水电站补助等。</w:t>
      </w:r>
    </w:p>
    <w:p w14:paraId="07571F61">
      <w:pPr>
        <w:keepNext w:val="0"/>
        <w:keepLines w:val="0"/>
        <w:widowControl/>
        <w:numPr>
          <w:ilvl w:val="0"/>
          <w:numId w:val="0"/>
        </w:numPr>
        <w:suppressLineNumbers w:val="0"/>
        <w:ind w:firstLine="640" w:firstLineChars="200"/>
        <w:jc w:val="left"/>
        <w:rPr>
          <w:rFonts w:hint="eastAsia" w:hAnsi="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46.农林水支出（类）巩固脱贫攻坚成果衔接乡村振兴（款）农村基础设施建设（项）：反映用于农村欠发达地区乡村道路、住房、基本农田、水利设施、人畜饮水、生态环境保护等生产生活条件改善方面的支出。</w:t>
      </w:r>
    </w:p>
    <w:p w14:paraId="41E4148A">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47.农林水支出（类）巩固脱贫攻坚成果衔接乡村振兴（款）其他巩固脱贫攻坚成果衔接乡村振兴支出（项）：反映除上述项目以外其他用于巩固拓展脱贫攻坚成果同乡村振兴有效衔接方面的支出。</w:t>
      </w:r>
    </w:p>
    <w:p w14:paraId="1FE13EC0">
      <w:pPr>
        <w:pStyle w:val="2"/>
        <w:ind w:firstLine="640" w:firstLineChars="200"/>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hAnsi="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.农林水支出（类）农村综合改革（款）对村级公益事业建设的补助（项）：反映各级财政对</w:t>
      </w:r>
      <w:r>
        <w:rPr>
          <w:rFonts w:hint="eastAsia" w:hAnsi="仿宋_GB2312" w:cs="仿宋_GB2312"/>
          <w:color w:val="auto"/>
          <w:kern w:val="2"/>
          <w:sz w:val="32"/>
          <w:szCs w:val="32"/>
          <w:lang w:val="en-US" w:eastAsia="zh-CN" w:bidi="ar-SA"/>
        </w:rPr>
        <w:t>村级公益事业建设的补助资金</w:t>
      </w:r>
      <w:r>
        <w:rPr>
          <w:rFonts w:hint="eastAsia" w:ascii="仿宋" w:hAnsi="仿宋" w:eastAsia="仿宋" w:cs="仿宋"/>
          <w:color w:val="auto"/>
          <w:kern w:val="0"/>
          <w:sz w:val="32"/>
          <w:szCs w:val="32"/>
          <w:lang w:val="en-US" w:eastAsia="zh-CN" w:bidi="ar"/>
        </w:rPr>
        <w:t>。</w:t>
      </w:r>
    </w:p>
    <w:p w14:paraId="5DCD4DE7">
      <w:pPr>
        <w:pStyle w:val="2"/>
        <w:ind w:firstLine="640" w:firstLineChars="200"/>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4</w:t>
      </w:r>
      <w:r>
        <w:rPr>
          <w:rFonts w:hint="eastAsia" w:hAnsi="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.农林水支出（类）农村综合改革（款） 对村民委员会和村党支部的补助（项）：反映各级财政对村民委员会和村党支部的补助支出，以及支持建</w:t>
      </w:r>
      <w:r>
        <w:rPr>
          <w:rFonts w:hint="eastAsia" w:ascii="仿宋" w:hAnsi="仿宋" w:eastAsia="仿宋" w:cs="仿宋"/>
          <w:color w:val="auto"/>
          <w:kern w:val="0"/>
          <w:sz w:val="32"/>
          <w:szCs w:val="32"/>
          <w:lang w:val="en-US" w:eastAsia="zh-CN" w:bidi="ar"/>
        </w:rPr>
        <w:t>立县级基本财力保障机制安排的村级组织运转奖补资金。</w:t>
      </w:r>
    </w:p>
    <w:p w14:paraId="75B9833E">
      <w:pPr>
        <w:pStyle w:val="2"/>
        <w:ind w:firstLine="640" w:firstLineChars="200"/>
        <w:rPr>
          <w:rFonts w:hint="eastAsia" w:ascii="仿宋" w:hAnsi="仿宋" w:eastAsia="仿宋" w:cs="仿宋"/>
          <w:color w:val="auto"/>
          <w:kern w:val="0"/>
          <w:sz w:val="32"/>
          <w:szCs w:val="32"/>
          <w:lang w:val="en-US" w:eastAsia="zh-CN" w:bidi="ar"/>
        </w:rPr>
      </w:pPr>
      <w:r>
        <w:rPr>
          <w:rFonts w:hint="eastAsia" w:hAnsi="仿宋_GB2312" w:cs="仿宋_GB2312"/>
          <w:color w:val="auto"/>
          <w:kern w:val="2"/>
          <w:sz w:val="32"/>
          <w:szCs w:val="32"/>
          <w:lang w:val="en-US" w:eastAsia="zh-CN" w:bidi="ar-SA"/>
        </w:rPr>
        <w:t>50</w:t>
      </w:r>
      <w:r>
        <w:rPr>
          <w:rFonts w:hint="eastAsia" w:ascii="仿宋_GB2312" w:hAnsi="仿宋_GB2312" w:eastAsia="仿宋_GB2312" w:cs="仿宋_GB2312"/>
          <w:color w:val="auto"/>
          <w:kern w:val="2"/>
          <w:sz w:val="32"/>
          <w:szCs w:val="32"/>
          <w:lang w:val="en-US" w:eastAsia="zh-CN" w:bidi="ar-SA"/>
        </w:rPr>
        <w:t>.交通运输支出（类）公路水路运输（款） </w:t>
      </w:r>
      <w:r>
        <w:rPr>
          <w:rFonts w:hint="eastAsia" w:hAnsi="仿宋_GB2312" w:cs="仿宋_GB2312"/>
          <w:color w:val="auto"/>
          <w:kern w:val="2"/>
          <w:sz w:val="32"/>
          <w:szCs w:val="32"/>
          <w:lang w:val="en-US" w:eastAsia="zh-CN" w:bidi="ar-SA"/>
        </w:rPr>
        <w:t>其他公路水路运输支出</w:t>
      </w:r>
      <w:r>
        <w:rPr>
          <w:rFonts w:hint="eastAsia" w:ascii="仿宋_GB2312" w:hAnsi="仿宋_GB2312" w:eastAsia="仿宋_GB2312" w:cs="仿宋_GB2312"/>
          <w:color w:val="auto"/>
          <w:kern w:val="2"/>
          <w:sz w:val="32"/>
          <w:szCs w:val="32"/>
          <w:lang w:val="en-US" w:eastAsia="zh-CN" w:bidi="ar-SA"/>
        </w:rPr>
        <w:t>（项）：</w:t>
      </w:r>
      <w:r>
        <w:rPr>
          <w:rFonts w:hint="eastAsia" w:ascii="仿宋" w:hAnsi="仿宋" w:eastAsia="仿宋" w:cs="仿宋"/>
          <w:color w:val="auto"/>
          <w:kern w:val="0"/>
          <w:sz w:val="32"/>
          <w:szCs w:val="32"/>
          <w:lang w:val="en-US" w:eastAsia="zh-CN" w:bidi="ar"/>
        </w:rPr>
        <w:t>反映除上述项目以外其他用于公路水路运输方面的支出。</w:t>
      </w:r>
    </w:p>
    <w:p w14:paraId="6FA22B41">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51.住房保障支出（类）住房改革支出（款）住房公积金（项）：反映行政事业单位按人力资源和社会保障部、财政部规定的基本工资和津贴补贴以及规定比例为职工缴纳的住房公积金。</w:t>
      </w:r>
    </w:p>
    <w:p w14:paraId="17BEDDD5">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52.灾害防止及应急管理支出（类）应急管理事务（款）其他应急管理支出（项）：反映除上述项目外的其他应急管理方面的支出。</w:t>
      </w:r>
    </w:p>
    <w:p w14:paraId="111FBE74">
      <w:pPr>
        <w:keepNext w:val="0"/>
        <w:keepLines w:val="0"/>
        <w:widowControl/>
        <w:numPr>
          <w:ilvl w:val="0"/>
          <w:numId w:val="0"/>
        </w:numPr>
        <w:suppressLineNumbers w:val="0"/>
        <w:ind w:firstLine="640" w:firstLineChars="200"/>
        <w:jc w:val="left"/>
        <w:rPr>
          <w:color w:val="auto"/>
        </w:rPr>
      </w:pPr>
      <w:r>
        <w:rPr>
          <w:rFonts w:hint="eastAsia" w:ascii="仿宋_GB2312" w:hAnsi="仿宋_GB2312" w:eastAsia="仿宋_GB2312" w:cs="仿宋_GB2312"/>
          <w:color w:val="auto"/>
          <w:kern w:val="2"/>
          <w:sz w:val="32"/>
          <w:szCs w:val="32"/>
          <w:lang w:val="en-US" w:eastAsia="zh-CN" w:bidi="ar-SA"/>
        </w:rPr>
        <w:t>53.灾害防止及应急管理支出（类）自然灾害防治（款）森林草原防灾减灾（项）：反映防治森林草原火灾、自然水旱灾害等发生的支出。</w:t>
      </w:r>
    </w:p>
    <w:p w14:paraId="1F2A2EAC">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年政府收支分类科目》增减内容。）</w:t>
      </w:r>
    </w:p>
    <w:p w14:paraId="27916EB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FD8237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F7FA126">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B83F76">
      <w:pPr>
        <w:pStyle w:val="22"/>
        <w:spacing w:line="560" w:lineRule="exact"/>
        <w:ind w:firstLine="640" w:firstLineChars="200"/>
        <w:rPr>
          <w:rFonts w:ascii="仿宋_GB2312" w:eastAsia="仿宋_GB2312" w:cs="黑体"/>
          <w:color w:val="FF0000"/>
          <w:sz w:val="32"/>
          <w:szCs w:val="32"/>
          <w:highlight w:val="none"/>
        </w:rPr>
      </w:pPr>
    </w:p>
    <w:p w14:paraId="75B026FE">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实际列支情况罗列，并根据本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职责职能增减名词解释内容。）</w:t>
      </w:r>
    </w:p>
    <w:p w14:paraId="76D4319E">
      <w:pPr>
        <w:spacing w:line="600" w:lineRule="exact"/>
        <w:jc w:val="center"/>
        <w:outlineLvl w:val="0"/>
        <w:rPr>
          <w:rStyle w:val="24"/>
          <w:rFonts w:ascii="黑体" w:hAnsi="黑体" w:eastAsia="黑体"/>
          <w:b w:val="0"/>
          <w:color w:val="auto"/>
          <w:highlight w:val="none"/>
        </w:rPr>
      </w:pPr>
      <w:bookmarkStart w:id="96" w:name="_Toc15377226"/>
      <w:r>
        <w:rPr>
          <w:rFonts w:ascii="宋体"/>
          <w:b/>
          <w:color w:val="FF0000"/>
          <w:sz w:val="44"/>
          <w:szCs w:val="44"/>
          <w:highlight w:val="none"/>
        </w:rPr>
        <w:br w:type="page"/>
      </w:r>
      <w:bookmarkStart w:id="97" w:name="_Toc8730"/>
      <w:bookmarkStart w:id="98"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97"/>
      <w:bookmarkEnd w:id="98"/>
    </w:p>
    <w:p w14:paraId="15A36C57">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99" w:name="_Toc15396618"/>
    </w:p>
    <w:p w14:paraId="301E1F1C">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100" w:name="_Toc4073"/>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3</w:t>
      </w:r>
      <w:r>
        <w:rPr>
          <w:rFonts w:hint="eastAsia" w:ascii="宋体" w:hAnsi="宋体" w:eastAsia="宋体" w:cs="宋体"/>
          <w:color w:val="auto"/>
          <w:kern w:val="0"/>
          <w:sz w:val="32"/>
          <w:szCs w:val="32"/>
          <w:highlight w:val="none"/>
          <w:lang w:val="en-US" w:eastAsia="zh-CN" w:bidi="ar-SA"/>
        </w:rPr>
        <w:t>年度）</w:t>
      </w:r>
      <w:bookmarkEnd w:id="100"/>
    </w:p>
    <w:p w14:paraId="72B0BC44">
      <w:pPr>
        <w:pStyle w:val="2"/>
        <w:rPr>
          <w:rFonts w:hint="eastAsia" w:ascii="仿宋_GB2312" w:hAnsi="宋体" w:eastAsia="仿宋_GB2312" w:cs="宋体"/>
          <w:color w:val="000000"/>
          <w:kern w:val="0"/>
          <w:sz w:val="32"/>
          <w:szCs w:val="32"/>
          <w:shd w:val="clear" w:color="auto" w:fill="FFFFFF"/>
          <w:lang w:val="en-US" w:eastAsia="zh-CN"/>
        </w:rPr>
      </w:pPr>
    </w:p>
    <w:p w14:paraId="298FA555">
      <w:pPr>
        <w:spacing w:line="600" w:lineRule="exact"/>
        <w:ind w:firstLine="640" w:firstLineChars="200"/>
        <w:jc w:val="left"/>
        <w:outlineLvl w:val="0"/>
        <w:rPr>
          <w:rFonts w:hint="eastAsia" w:ascii="仿宋_GB2312" w:hAnsi="Calibri" w:eastAsia="仿宋_GB2312" w:cs="仿宋"/>
          <w:color w:val="auto"/>
          <w:kern w:val="0"/>
          <w:sz w:val="32"/>
          <w:szCs w:val="32"/>
          <w:highlight w:val="none"/>
          <w:lang w:val="en-US" w:eastAsia="zh-CN" w:bidi="ar-SA"/>
        </w:rPr>
      </w:pPr>
      <w:bookmarkStart w:id="101" w:name="_Toc3624"/>
      <w:r>
        <w:rPr>
          <w:rFonts w:hint="eastAsia" w:ascii="仿宋_GB2312" w:hAnsi="Calibri" w:eastAsia="仿宋_GB2312" w:cs="仿宋"/>
          <w:color w:val="auto"/>
          <w:kern w:val="0"/>
          <w:sz w:val="32"/>
          <w:szCs w:val="32"/>
          <w:highlight w:val="none"/>
          <w:lang w:val="en-US" w:eastAsia="zh-CN" w:bidi="ar-SA"/>
        </w:rPr>
        <w:t>（备注：按照绩效自评工作安排，各单位可在预算管理一体化系统—综合报表查询—预算绩效报表模块中下载本单位“部门预算项目支出绩效自评表（2023年度）”，该表格应作为附件予以公开。）</w:t>
      </w:r>
      <w:bookmarkEnd w:id="101"/>
    </w:p>
    <w:p w14:paraId="07E5ECB6">
      <w:pPr>
        <w:pStyle w:val="2"/>
        <w:rPr>
          <w:rFonts w:hint="eastAsia" w:ascii="仿宋_GB2312" w:hAnsi="宋体" w:eastAsia="仿宋_GB2312" w:cs="宋体"/>
          <w:color w:val="000000"/>
          <w:kern w:val="0"/>
          <w:sz w:val="32"/>
          <w:szCs w:val="32"/>
          <w:shd w:val="clear" w:color="auto" w:fill="FFFFFF"/>
          <w:lang w:val="en-US" w:eastAsia="zh-CN"/>
        </w:rPr>
      </w:pPr>
    </w:p>
    <w:p w14:paraId="7354A979">
      <w:pPr>
        <w:spacing w:line="600" w:lineRule="exact"/>
        <w:jc w:val="both"/>
        <w:outlineLvl w:val="0"/>
        <w:rPr>
          <w:rFonts w:hint="eastAsia" w:ascii="黑体" w:hAnsi="黑体" w:eastAsia="黑体"/>
          <w:color w:val="auto"/>
          <w:sz w:val="44"/>
          <w:szCs w:val="44"/>
          <w:highlight w:val="none"/>
        </w:rPr>
      </w:pPr>
    </w:p>
    <w:p w14:paraId="09A96BF6">
      <w:pPr>
        <w:pStyle w:val="2"/>
        <w:rPr>
          <w:rFonts w:hint="eastAsia" w:ascii="黑体" w:hAnsi="黑体" w:eastAsia="黑体"/>
          <w:color w:val="auto"/>
          <w:sz w:val="44"/>
          <w:szCs w:val="44"/>
          <w:highlight w:val="none"/>
        </w:rPr>
      </w:pPr>
    </w:p>
    <w:p w14:paraId="4616059F">
      <w:pPr>
        <w:pStyle w:val="2"/>
        <w:rPr>
          <w:rFonts w:hint="eastAsia" w:ascii="黑体" w:hAnsi="黑体" w:eastAsia="黑体"/>
          <w:color w:val="auto"/>
          <w:sz w:val="44"/>
          <w:szCs w:val="44"/>
          <w:highlight w:val="none"/>
        </w:rPr>
      </w:pPr>
    </w:p>
    <w:p w14:paraId="424C6B53">
      <w:pPr>
        <w:pStyle w:val="2"/>
        <w:rPr>
          <w:rFonts w:hint="eastAsia" w:ascii="黑体" w:hAnsi="黑体" w:eastAsia="黑体"/>
          <w:color w:val="auto"/>
          <w:sz w:val="44"/>
          <w:szCs w:val="44"/>
          <w:highlight w:val="none"/>
        </w:rPr>
      </w:pPr>
    </w:p>
    <w:p w14:paraId="2C4A8E7F">
      <w:pPr>
        <w:pStyle w:val="2"/>
        <w:rPr>
          <w:rFonts w:hint="eastAsia" w:ascii="黑体" w:hAnsi="黑体" w:eastAsia="黑体"/>
          <w:color w:val="auto"/>
          <w:sz w:val="44"/>
          <w:szCs w:val="44"/>
          <w:highlight w:val="none"/>
        </w:rPr>
      </w:pPr>
    </w:p>
    <w:p w14:paraId="60F74821">
      <w:pPr>
        <w:pStyle w:val="2"/>
        <w:rPr>
          <w:rFonts w:hint="eastAsia" w:ascii="黑体" w:hAnsi="黑体" w:eastAsia="黑体"/>
          <w:color w:val="auto"/>
          <w:sz w:val="44"/>
          <w:szCs w:val="44"/>
          <w:highlight w:val="none"/>
        </w:rPr>
      </w:pPr>
    </w:p>
    <w:p w14:paraId="1718B8E5">
      <w:pPr>
        <w:pStyle w:val="2"/>
        <w:rPr>
          <w:rFonts w:hint="eastAsia" w:ascii="黑体" w:hAnsi="黑体" w:eastAsia="黑体"/>
          <w:color w:val="auto"/>
          <w:sz w:val="44"/>
          <w:szCs w:val="44"/>
          <w:highlight w:val="none"/>
        </w:rPr>
      </w:pPr>
    </w:p>
    <w:p w14:paraId="0FAA818B">
      <w:pPr>
        <w:pStyle w:val="2"/>
        <w:rPr>
          <w:rFonts w:hint="eastAsia" w:ascii="黑体" w:hAnsi="黑体" w:eastAsia="黑体"/>
          <w:color w:val="auto"/>
          <w:sz w:val="44"/>
          <w:szCs w:val="44"/>
          <w:highlight w:val="none"/>
        </w:rPr>
      </w:pPr>
    </w:p>
    <w:p w14:paraId="38DEA007">
      <w:pPr>
        <w:pStyle w:val="2"/>
        <w:rPr>
          <w:rFonts w:hint="eastAsia" w:ascii="黑体" w:hAnsi="黑体" w:eastAsia="黑体"/>
          <w:color w:val="auto"/>
          <w:sz w:val="44"/>
          <w:szCs w:val="44"/>
          <w:highlight w:val="none"/>
        </w:rPr>
      </w:pPr>
    </w:p>
    <w:p w14:paraId="277A54EE">
      <w:pPr>
        <w:pStyle w:val="2"/>
        <w:rPr>
          <w:rFonts w:hint="eastAsia" w:ascii="黑体" w:hAnsi="黑体" w:eastAsia="黑体"/>
          <w:color w:val="auto"/>
          <w:sz w:val="44"/>
          <w:szCs w:val="44"/>
          <w:highlight w:val="none"/>
        </w:rPr>
      </w:pPr>
    </w:p>
    <w:p w14:paraId="75F91E07">
      <w:pPr>
        <w:pStyle w:val="2"/>
        <w:rPr>
          <w:rFonts w:hint="eastAsia" w:ascii="黑体" w:hAnsi="黑体" w:eastAsia="黑体"/>
          <w:color w:val="auto"/>
          <w:sz w:val="44"/>
          <w:szCs w:val="44"/>
          <w:highlight w:val="none"/>
        </w:rPr>
      </w:pPr>
    </w:p>
    <w:p w14:paraId="56376F29">
      <w:pPr>
        <w:spacing w:line="600" w:lineRule="exact"/>
        <w:jc w:val="center"/>
        <w:outlineLvl w:val="0"/>
        <w:rPr>
          <w:rFonts w:hint="eastAsia" w:ascii="仿宋" w:hAnsi="仿宋" w:eastAsia="仿宋"/>
          <w:b w:val="0"/>
          <w:color w:val="auto"/>
          <w:highlight w:val="none"/>
        </w:rPr>
      </w:pPr>
      <w:bookmarkStart w:id="102" w:name="_Toc8343"/>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96"/>
      <w:bookmarkEnd w:id="99"/>
      <w:bookmarkEnd w:id="102"/>
      <w:bookmarkStart w:id="103" w:name="_Toc15396619"/>
    </w:p>
    <w:bookmarkEnd w:id="103"/>
    <w:p w14:paraId="5C4E1FC9">
      <w:pPr>
        <w:pStyle w:val="4"/>
        <w:rPr>
          <w:rFonts w:ascii="仿宋" w:hAnsi="仿宋" w:eastAsia="仿宋"/>
          <w:color w:val="auto"/>
          <w:highlight w:val="none"/>
        </w:rPr>
      </w:pPr>
      <w:bookmarkStart w:id="104" w:name="_Toc2180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04"/>
    </w:p>
    <w:p w14:paraId="1B32F272">
      <w:pPr>
        <w:pStyle w:val="4"/>
        <w:rPr>
          <w:rFonts w:ascii="仿宋" w:hAnsi="仿宋" w:eastAsia="仿宋"/>
          <w:color w:val="auto"/>
          <w:highlight w:val="none"/>
        </w:rPr>
      </w:pPr>
      <w:bookmarkStart w:id="105" w:name="_Toc31074"/>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05"/>
    </w:p>
    <w:p w14:paraId="3A3C8766">
      <w:pPr>
        <w:pStyle w:val="4"/>
        <w:rPr>
          <w:rFonts w:ascii="仿宋" w:hAnsi="仿宋" w:eastAsia="仿宋"/>
          <w:color w:val="auto"/>
          <w:highlight w:val="none"/>
        </w:rPr>
      </w:pPr>
      <w:bookmarkStart w:id="106" w:name="_Toc30147"/>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06"/>
    </w:p>
    <w:p w14:paraId="569C353E">
      <w:pPr>
        <w:pStyle w:val="4"/>
        <w:rPr>
          <w:rFonts w:ascii="仿宋" w:hAnsi="仿宋" w:eastAsia="仿宋"/>
          <w:b w:val="0"/>
          <w:color w:val="auto"/>
          <w:highlight w:val="none"/>
        </w:rPr>
      </w:pPr>
      <w:bookmarkStart w:id="107" w:name="_Toc30966"/>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07"/>
    </w:p>
    <w:p w14:paraId="0A984611">
      <w:pPr>
        <w:pStyle w:val="4"/>
        <w:rPr>
          <w:rStyle w:val="25"/>
          <w:rFonts w:ascii="仿宋" w:hAnsi="仿宋" w:eastAsia="仿宋"/>
          <w:b w:val="0"/>
          <w:bCs w:val="0"/>
          <w:color w:val="auto"/>
          <w:highlight w:val="none"/>
        </w:rPr>
      </w:pPr>
      <w:bookmarkStart w:id="108" w:name="_Toc1146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08"/>
    </w:p>
    <w:p w14:paraId="5D2A8C70">
      <w:pPr>
        <w:pStyle w:val="4"/>
        <w:rPr>
          <w:rFonts w:ascii="仿宋" w:hAnsi="仿宋" w:eastAsia="仿宋"/>
          <w:color w:val="auto"/>
          <w:highlight w:val="none"/>
        </w:rPr>
      </w:pPr>
      <w:bookmarkStart w:id="109" w:name="_Toc9667"/>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09"/>
    </w:p>
    <w:p w14:paraId="7C3744F9">
      <w:pPr>
        <w:pStyle w:val="4"/>
        <w:rPr>
          <w:rFonts w:ascii="仿宋" w:hAnsi="仿宋" w:eastAsia="仿宋"/>
          <w:color w:val="auto"/>
          <w:highlight w:val="none"/>
        </w:rPr>
      </w:pPr>
      <w:bookmarkStart w:id="110" w:name="_Toc22389"/>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10"/>
    </w:p>
    <w:p w14:paraId="687F92AC">
      <w:pPr>
        <w:pStyle w:val="4"/>
        <w:rPr>
          <w:rFonts w:ascii="仿宋" w:hAnsi="仿宋" w:eastAsia="仿宋"/>
          <w:color w:val="auto"/>
          <w:highlight w:val="none"/>
        </w:rPr>
      </w:pPr>
      <w:bookmarkStart w:id="111" w:name="_Toc7837"/>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11"/>
    </w:p>
    <w:p w14:paraId="0D739EBF">
      <w:pPr>
        <w:pStyle w:val="4"/>
        <w:rPr>
          <w:rFonts w:ascii="仿宋" w:hAnsi="仿宋" w:eastAsia="仿宋"/>
          <w:color w:val="auto"/>
          <w:highlight w:val="none"/>
        </w:rPr>
      </w:pPr>
      <w:bookmarkStart w:id="112" w:name="_Toc24034"/>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12"/>
    </w:p>
    <w:p w14:paraId="029BC66D">
      <w:pPr>
        <w:pStyle w:val="4"/>
        <w:rPr>
          <w:rFonts w:ascii="仿宋" w:hAnsi="仿宋" w:eastAsia="仿宋"/>
          <w:color w:val="auto"/>
          <w:highlight w:val="none"/>
        </w:rPr>
      </w:pPr>
      <w:bookmarkStart w:id="113" w:name="_Toc9610"/>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13"/>
    </w:p>
    <w:p w14:paraId="3584A759">
      <w:pPr>
        <w:pStyle w:val="4"/>
        <w:rPr>
          <w:rFonts w:ascii="仿宋" w:hAnsi="仿宋" w:eastAsia="仿宋"/>
          <w:color w:val="auto"/>
          <w:highlight w:val="none"/>
        </w:rPr>
      </w:pPr>
      <w:bookmarkStart w:id="114" w:name="_Toc13082"/>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14"/>
    </w:p>
    <w:p w14:paraId="46DB18BF">
      <w:pPr>
        <w:pStyle w:val="4"/>
        <w:rPr>
          <w:rFonts w:ascii="仿宋" w:hAnsi="仿宋" w:eastAsia="仿宋"/>
          <w:color w:val="auto"/>
          <w:highlight w:val="none"/>
        </w:rPr>
      </w:pPr>
      <w:bookmarkStart w:id="115" w:name="_Toc15878"/>
      <w:r>
        <w:rPr>
          <w:rStyle w:val="25"/>
          <w:rFonts w:hint="eastAsia" w:ascii="仿宋" w:hAnsi="仿宋" w:eastAsia="仿宋"/>
          <w:b w:val="0"/>
          <w:bCs w:val="0"/>
          <w:color w:val="auto"/>
          <w:highlight w:val="none"/>
        </w:rPr>
        <w:t>十二、</w:t>
      </w:r>
      <w:r>
        <w:rPr>
          <w:rStyle w:val="25"/>
          <w:rFonts w:hint="eastAsia" w:ascii="仿宋" w:hAnsi="仿宋" w:eastAsia="仿宋"/>
          <w:b w:val="0"/>
          <w:bCs w:val="0"/>
          <w:color w:val="auto"/>
          <w:highlight w:val="none"/>
          <w:lang w:eastAsia="zh-CN"/>
        </w:rPr>
        <w:t>国有资本经营预算财政拨款支出决算表</w:t>
      </w:r>
      <w:bookmarkEnd w:id="115"/>
    </w:p>
    <w:p w14:paraId="72F6451C">
      <w:pPr>
        <w:pStyle w:val="4"/>
        <w:rPr>
          <w:rFonts w:hint="eastAsia" w:eastAsia="仿宋"/>
          <w:color w:val="auto"/>
          <w:highlight w:val="none"/>
          <w:lang w:eastAsia="zh-CN"/>
        </w:rPr>
      </w:pPr>
      <w:bookmarkStart w:id="116" w:name="_Toc7901"/>
      <w:r>
        <w:rPr>
          <w:rStyle w:val="25"/>
          <w:rFonts w:hint="eastAsia" w:ascii="仿宋" w:hAnsi="仿宋" w:eastAsia="仿宋"/>
          <w:b w:val="0"/>
          <w:bCs w:val="0"/>
          <w:color w:val="auto"/>
          <w:highlight w:val="none"/>
        </w:rPr>
        <w:t>十三、</w:t>
      </w:r>
      <w:r>
        <w:rPr>
          <w:rStyle w:val="25"/>
          <w:rFonts w:hint="eastAsia" w:ascii="仿宋" w:hAnsi="仿宋" w:eastAsia="仿宋"/>
          <w:b w:val="0"/>
          <w:bCs w:val="0"/>
          <w:color w:val="auto"/>
          <w:highlight w:val="none"/>
          <w:lang w:eastAsia="zh-CN"/>
        </w:rPr>
        <w:t>财政拨款“三公”经费支出决算表</w:t>
      </w:r>
      <w:bookmarkEnd w:id="116"/>
    </w:p>
    <w:p w14:paraId="5DED2282">
      <w:pPr>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BDDB5E-5268-4E0D-8B85-CC3D46C82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909285-12E4-46DD-9BF5-1F1C8DC72130}"/>
  </w:font>
  <w:font w:name="Cambria">
    <w:panose1 w:val="02040503050406030204"/>
    <w:charset w:val="00"/>
    <w:family w:val="roman"/>
    <w:pitch w:val="default"/>
    <w:sig w:usb0="E00006FF" w:usb1="420024FF" w:usb2="02000000" w:usb3="00000000" w:csb0="2000019F" w:csb1="00000000"/>
    <w:embedRegular r:id="rId3" w:fontKey="{9413E66C-9298-4F24-8A9E-517E98C558D4}"/>
  </w:font>
  <w:font w:name="仿宋_GB2312">
    <w:altName w:val="仿宋"/>
    <w:panose1 w:val="02010609030101010101"/>
    <w:charset w:val="86"/>
    <w:family w:val="modern"/>
    <w:pitch w:val="default"/>
    <w:sig w:usb0="00000000" w:usb1="00000000" w:usb2="00000000" w:usb3="00000000" w:csb0="00040000" w:csb1="00000000"/>
    <w:embedRegular r:id="rId4" w:fontKey="{661BD565-79CD-4488-B6A9-5221A7643E0C}"/>
  </w:font>
  <w:font w:name="仿宋">
    <w:panose1 w:val="02010609060101010101"/>
    <w:charset w:val="86"/>
    <w:family w:val="modern"/>
    <w:pitch w:val="default"/>
    <w:sig w:usb0="800002BF" w:usb1="38CF7CFA" w:usb2="00000016" w:usb3="00000000" w:csb0="00040001" w:csb1="00000000"/>
    <w:embedRegular r:id="rId5" w:fontKey="{101797AF-849D-49EE-9ECB-BDC1E66B1D7F}"/>
  </w:font>
  <w:font w:name="方正小标宋简体">
    <w:panose1 w:val="02000000000000000000"/>
    <w:charset w:val="86"/>
    <w:family w:val="script"/>
    <w:pitch w:val="default"/>
    <w:sig w:usb0="00000001" w:usb1="08000000" w:usb2="00000000" w:usb3="00000000" w:csb0="00040000" w:csb1="00000000"/>
    <w:embedRegular r:id="rId6" w:fontKey="{1BF07D0B-752F-46A0-882A-A0969F5C73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BA9D82">
        <w:pPr>
          <w:pStyle w:val="8"/>
          <w:jc w:val="center"/>
        </w:pPr>
        <w:r>
          <w:fldChar w:fldCharType="begin"/>
        </w:r>
        <w:r>
          <w:instrText xml:space="preserve">PAGE   \* MERGEFORMAT</w:instrText>
        </w:r>
        <w:r>
          <w:fldChar w:fldCharType="separate"/>
        </w:r>
        <w:r>
          <w:rPr>
            <w:lang w:val="zh-CN"/>
          </w:rPr>
          <w:t>8</w:t>
        </w:r>
        <w:r>
          <w:fldChar w:fldCharType="end"/>
        </w:r>
      </w:p>
    </w:sdtContent>
  </w:sdt>
  <w:p w14:paraId="3A06C9F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115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1C8A"/>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2FDB"/>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0169A0"/>
    <w:rsid w:val="07355C05"/>
    <w:rsid w:val="080910B1"/>
    <w:rsid w:val="08C711B3"/>
    <w:rsid w:val="0A2032A3"/>
    <w:rsid w:val="0B8A37D8"/>
    <w:rsid w:val="101747CE"/>
    <w:rsid w:val="10C055FF"/>
    <w:rsid w:val="118107EC"/>
    <w:rsid w:val="11D010D8"/>
    <w:rsid w:val="11DD6519"/>
    <w:rsid w:val="131C49EF"/>
    <w:rsid w:val="16BB723D"/>
    <w:rsid w:val="16D65BF6"/>
    <w:rsid w:val="17A73E13"/>
    <w:rsid w:val="18015F3F"/>
    <w:rsid w:val="1933714A"/>
    <w:rsid w:val="1A195710"/>
    <w:rsid w:val="1AB7627B"/>
    <w:rsid w:val="1BE8440E"/>
    <w:rsid w:val="1C30275E"/>
    <w:rsid w:val="1D155CEE"/>
    <w:rsid w:val="1ED41ADC"/>
    <w:rsid w:val="20F57F95"/>
    <w:rsid w:val="214F2A77"/>
    <w:rsid w:val="223D6D12"/>
    <w:rsid w:val="2268280C"/>
    <w:rsid w:val="240371BF"/>
    <w:rsid w:val="245D33A3"/>
    <w:rsid w:val="25246B69"/>
    <w:rsid w:val="25C741E6"/>
    <w:rsid w:val="26E758CC"/>
    <w:rsid w:val="27842671"/>
    <w:rsid w:val="285B0DB6"/>
    <w:rsid w:val="2951091E"/>
    <w:rsid w:val="29612921"/>
    <w:rsid w:val="298316F9"/>
    <w:rsid w:val="29FD04D3"/>
    <w:rsid w:val="2AA408FD"/>
    <w:rsid w:val="2ABE7A3E"/>
    <w:rsid w:val="2EF7195A"/>
    <w:rsid w:val="2EFA178C"/>
    <w:rsid w:val="2FA86927"/>
    <w:rsid w:val="30555397"/>
    <w:rsid w:val="30B46D73"/>
    <w:rsid w:val="30CF3282"/>
    <w:rsid w:val="319F7F4E"/>
    <w:rsid w:val="31F406E5"/>
    <w:rsid w:val="31F91294"/>
    <w:rsid w:val="32670C3E"/>
    <w:rsid w:val="328C6A23"/>
    <w:rsid w:val="339B3CC5"/>
    <w:rsid w:val="33DE35B5"/>
    <w:rsid w:val="39AE70AB"/>
    <w:rsid w:val="3AFF3A08"/>
    <w:rsid w:val="3C0C0783"/>
    <w:rsid w:val="3CED0178"/>
    <w:rsid w:val="3DD11744"/>
    <w:rsid w:val="3DF6289D"/>
    <w:rsid w:val="3E7B55BF"/>
    <w:rsid w:val="3F9F3A96"/>
    <w:rsid w:val="426D1302"/>
    <w:rsid w:val="42BA7FAC"/>
    <w:rsid w:val="45691667"/>
    <w:rsid w:val="46DD320B"/>
    <w:rsid w:val="47A96B67"/>
    <w:rsid w:val="493C27E9"/>
    <w:rsid w:val="496F39ED"/>
    <w:rsid w:val="49C00DE7"/>
    <w:rsid w:val="49FF41D3"/>
    <w:rsid w:val="4A795398"/>
    <w:rsid w:val="4B0B04B0"/>
    <w:rsid w:val="4BE068DB"/>
    <w:rsid w:val="4BF6002B"/>
    <w:rsid w:val="4E803FA3"/>
    <w:rsid w:val="4ECE2238"/>
    <w:rsid w:val="4EFF430A"/>
    <w:rsid w:val="4F9E234D"/>
    <w:rsid w:val="50A80881"/>
    <w:rsid w:val="51DB4B86"/>
    <w:rsid w:val="522B0E78"/>
    <w:rsid w:val="5282603C"/>
    <w:rsid w:val="52833022"/>
    <w:rsid w:val="54423302"/>
    <w:rsid w:val="544D1AE6"/>
    <w:rsid w:val="55333C3E"/>
    <w:rsid w:val="56632E0D"/>
    <w:rsid w:val="57D55E40"/>
    <w:rsid w:val="5AAD431C"/>
    <w:rsid w:val="5C907951"/>
    <w:rsid w:val="5DE705C6"/>
    <w:rsid w:val="5DF93F5A"/>
    <w:rsid w:val="5FC52828"/>
    <w:rsid w:val="61AB60F1"/>
    <w:rsid w:val="64CA39A1"/>
    <w:rsid w:val="66031A04"/>
    <w:rsid w:val="67017F79"/>
    <w:rsid w:val="67E36AB5"/>
    <w:rsid w:val="69404627"/>
    <w:rsid w:val="6A7B0C9C"/>
    <w:rsid w:val="6C4A05C8"/>
    <w:rsid w:val="6FFA6676"/>
    <w:rsid w:val="71B52674"/>
    <w:rsid w:val="71C4767C"/>
    <w:rsid w:val="721646F3"/>
    <w:rsid w:val="72734D90"/>
    <w:rsid w:val="736F0AA0"/>
    <w:rsid w:val="73DB4855"/>
    <w:rsid w:val="742A6D76"/>
    <w:rsid w:val="74CF4B5A"/>
    <w:rsid w:val="754B572C"/>
    <w:rsid w:val="75524DAA"/>
    <w:rsid w:val="772159A4"/>
    <w:rsid w:val="775822F8"/>
    <w:rsid w:val="778C0372"/>
    <w:rsid w:val="78E311CD"/>
    <w:rsid w:val="79E7B28D"/>
    <w:rsid w:val="7BCB71B5"/>
    <w:rsid w:val="7DEA4E11"/>
    <w:rsid w:val="7E362936"/>
    <w:rsid w:val="7F1D360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 Char Char5"/>
    <w:basedOn w:val="13"/>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a:t>
            </a:r>
            <a:r>
              <a:rPr lang="en-US" altLang="zh-CN"/>
              <a:t>023</a:t>
            </a:r>
            <a:r>
              <a:t>年本年收入</a:t>
            </a:r>
          </a:p>
        </c:rich>
      </c:tx>
      <c:layout/>
      <c:overlay val="0"/>
      <c:spPr>
        <a:noFill/>
        <a:ln>
          <a:noFill/>
        </a:ln>
        <a:effectLst/>
      </c:spPr>
    </c:title>
    <c:autoTitleDeleted val="0"/>
    <c:plotArea>
      <c:layout/>
      <c:pieChart>
        <c:varyColors val="1"/>
        <c:ser>
          <c:idx val="0"/>
          <c:order val="0"/>
          <c:tx>
            <c:strRef>
              <c:f>Sheet1!$B$1</c:f>
              <c:strCache>
                <c:ptCount val="1"/>
                <c:pt idx="0">
                  <c:v>2023年本年收入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2245.28</c:v>
                </c:pt>
                <c:pt idx="1">
                  <c:v>185.4</c:v>
                </c:pt>
                <c:pt idx="2">
                  <c:v>1.18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a:t>
            </a:r>
            <a:r>
              <a:rPr lang="en-US" altLang="zh-CN"/>
              <a:t>023</a:t>
            </a:r>
            <a:r>
              <a:t>年本年支出</a:t>
            </a:r>
          </a:p>
        </c:rich>
      </c:tx>
      <c:layout/>
      <c:overlay val="0"/>
      <c:spPr>
        <a:noFill/>
        <a:ln>
          <a:noFill/>
        </a:ln>
        <a:effectLst/>
      </c:spPr>
    </c:title>
    <c:autoTitleDeleted val="0"/>
    <c:plotArea>
      <c:layout/>
      <c:pieChart>
        <c:varyColors val="1"/>
        <c:ser>
          <c:idx val="0"/>
          <c:order val="0"/>
          <c:tx>
            <c:strRef>
              <c:f>Sheet1!$B$1</c:f>
              <c:strCache>
                <c:ptCount val="1"/>
                <c:pt idx="0">
                  <c:v>2023年本年支出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809</c:v>
                </c:pt>
                <c:pt idx="1">
                  <c:v>1621.68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3</a:t>
            </a:r>
            <a:r>
              <a:t>年财政拨款收支决算数</a:t>
            </a:r>
          </a:p>
        </c:rich>
      </c:tx>
      <c:layout>
        <c:manualLayout>
          <c:xMode val="edge"/>
          <c:yMode val="edge"/>
          <c:x val="0.2825"/>
          <c:y val="0.0228333333333333"/>
        </c:manualLayout>
      </c:layout>
      <c:overlay val="0"/>
      <c:spPr>
        <a:noFill/>
        <a:ln>
          <a:noFill/>
        </a:ln>
        <a:effectLst/>
      </c:spPr>
    </c:title>
    <c:autoTitleDeleted val="0"/>
    <c:plotArea>
      <c:layout>
        <c:manualLayout>
          <c:layoutTarget val="inner"/>
          <c:xMode val="edge"/>
          <c:yMode val="edge"/>
          <c:x val="0.080325"/>
          <c:y val="0.1275"/>
          <c:w val="0.8938"/>
          <c:h val="0.7164"/>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2503.63</c:v>
                </c:pt>
                <c:pt idx="1">
                  <c:v>2430.68</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Sheet1!$C$2:$C$3</c:f>
              <c:numCache>
                <c:formatCode>General</c:formatCode>
                <c:ptCount val="2"/>
                <c:pt idx="0">
                  <c:v>2503.63</c:v>
                </c:pt>
                <c:pt idx="1">
                  <c:v>2430.68</c:v>
                </c:pt>
              </c:numCache>
            </c:numRef>
          </c:val>
        </c:ser>
        <c:dLbls>
          <c:showLegendKey val="0"/>
          <c:showVal val="0"/>
          <c:showCatName val="0"/>
          <c:showSerName val="0"/>
          <c:showPercent val="0"/>
          <c:showBubbleSize val="0"/>
        </c:dLbls>
        <c:gapWidth val="219"/>
        <c:overlap val="-27"/>
        <c:axId val="725759871"/>
        <c:axId val="93919914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numRef>
                    <c:extLst>
                      <c:ext uri="{02D57815-91ED-43cb-92C2-25804820EDAC}">
                        <c15:fullRef>
                          <c15:sqref/>
                        </c15:fullRef>
                        <c15:formulaRef>
                          <c15:sqref>Sheet1!$A$2:$A$3</c15:sqref>
                        </c15:formulaRef>
                      </c:ext>
                    </c:extLst>
                    <c:numCache>
                      <c:formatCode>General</c:formatCode>
                      <c:ptCount val="2"/>
                      <c:pt idx="0">
                        <c:v>2022</c:v>
                      </c:pt>
                      <c:pt idx="1">
                        <c:v>2023</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257598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199146"/>
        <c:crosses val="autoZero"/>
        <c:auto val="1"/>
        <c:lblAlgn val="ctr"/>
        <c:lblOffset val="100"/>
        <c:noMultiLvlLbl val="0"/>
      </c:catAx>
      <c:valAx>
        <c:axId val="9391991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575987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年一般公共预算财政拨款支出决算数</a:t>
            </a:r>
            <a:endParaRPr altLang="en-US"/>
          </a:p>
        </c:rich>
      </c:tx>
      <c:layout>
        <c:manualLayout>
          <c:xMode val="edge"/>
          <c:yMode val="edge"/>
          <c:x val="0.175375"/>
          <c:y val="0.017166666666666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2503.63</c:v>
                </c:pt>
                <c:pt idx="1">
                  <c:v>2245.28</c:v>
                </c:pt>
              </c:numCache>
            </c:numRef>
          </c:val>
        </c:ser>
        <c:dLbls>
          <c:showLegendKey val="0"/>
          <c:showVal val="0"/>
          <c:showCatName val="0"/>
          <c:showSerName val="0"/>
          <c:showPercent val="0"/>
          <c:showBubbleSize val="0"/>
        </c:dLbls>
        <c:gapWidth val="219"/>
        <c:overlap val="-27"/>
        <c:axId val="29641448"/>
        <c:axId val="581156375"/>
      </c:barChart>
      <c:catAx>
        <c:axId val="296414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156375"/>
        <c:crosses val="autoZero"/>
        <c:auto val="1"/>
        <c:lblAlgn val="ctr"/>
        <c:lblOffset val="100"/>
        <c:noMultiLvlLbl val="0"/>
      </c:catAx>
      <c:valAx>
        <c:axId val="581156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414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23</a:t>
            </a:r>
            <a:r>
              <a:t>年一般公共预算财政拨款支出</a:t>
            </a:r>
          </a:p>
        </c:rich>
      </c:tx>
      <c:layout/>
      <c:overlay val="0"/>
      <c:spPr>
        <a:noFill/>
        <a:ln>
          <a:noFill/>
        </a:ln>
        <a:effectLst/>
      </c:spPr>
    </c:title>
    <c:autoTitleDeleted val="0"/>
    <c:plotArea>
      <c:layout/>
      <c:pieChart>
        <c:varyColors val="1"/>
        <c:ser>
          <c:idx val="0"/>
          <c:order val="0"/>
          <c:tx>
            <c:strRef>
              <c:f>Sheet1!$B$1</c:f>
              <c:strCache>
                <c:ptCount val="1"/>
                <c:pt idx="0">
                  <c:v>2023年一般公共预算财政拨款支出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elete val="1"/>
          </c:dLbls>
          <c:cat>
            <c:strRef>
              <c:f>Sheet1!$A$2:$A$12</c:f>
              <c:strCache>
                <c:ptCount val="11"/>
                <c:pt idx="0">
                  <c:v>一般公共服务支出</c:v>
                </c:pt>
                <c:pt idx="1">
                  <c:v>教育支出</c:v>
                </c:pt>
                <c:pt idx="2">
                  <c:v>文化旅游体育与传媒支出</c:v>
                </c:pt>
                <c:pt idx="3">
                  <c:v>社会保障和就业支出</c:v>
                </c:pt>
                <c:pt idx="4">
                  <c:v>卫生健康支出</c:v>
                </c:pt>
                <c:pt idx="5">
                  <c:v>节能环保支出</c:v>
                </c:pt>
                <c:pt idx="6">
                  <c:v>城乡社区支出</c:v>
                </c:pt>
                <c:pt idx="7">
                  <c:v>农林水支出</c:v>
                </c:pt>
                <c:pt idx="8">
                  <c:v>交通运输支出</c:v>
                </c:pt>
                <c:pt idx="9">
                  <c:v>住房保障支出</c:v>
                </c:pt>
                <c:pt idx="10">
                  <c:v>灾害防治及应急管理支出</c:v>
                </c:pt>
              </c:strCache>
            </c:strRef>
          </c:cat>
          <c:val>
            <c:numRef>
              <c:f>Sheet1!$B$2:$B$12</c:f>
              <c:numCache>
                <c:formatCode>General</c:formatCode>
                <c:ptCount val="11"/>
                <c:pt idx="0">
                  <c:v>718.16</c:v>
                </c:pt>
                <c:pt idx="1">
                  <c:v>0.16</c:v>
                </c:pt>
                <c:pt idx="2">
                  <c:v>32.13</c:v>
                </c:pt>
                <c:pt idx="3">
                  <c:v>167.65</c:v>
                </c:pt>
                <c:pt idx="4">
                  <c:v>255.24</c:v>
                </c:pt>
                <c:pt idx="5">
                  <c:v>53.91</c:v>
                </c:pt>
                <c:pt idx="6">
                  <c:v>519.76</c:v>
                </c:pt>
                <c:pt idx="7">
                  <c:v>414.81</c:v>
                </c:pt>
                <c:pt idx="8">
                  <c:v>10.1</c:v>
                </c:pt>
                <c:pt idx="9">
                  <c:v>56.33</c:v>
                </c:pt>
                <c:pt idx="10">
                  <c:v>17.03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28125"/>
          <c:y val="0.127"/>
          <c:w val="0.570625"/>
          <c:h val="0.760833333333333"/>
        </c:manualLayout>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9926</Words>
  <Characters>10858</Characters>
  <Lines>61</Lines>
  <Paragraphs>17</Paragraphs>
  <TotalTime>24</TotalTime>
  <ScaleCrop>false</ScaleCrop>
  <LinksUpToDate>false</LinksUpToDate>
  <CharactersWithSpaces>10939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小张妹儿</cp:lastModifiedBy>
  <cp:lastPrinted>2022-09-01T06:21:00Z</cp:lastPrinted>
  <dcterms:modified xsi:type="dcterms:W3CDTF">2024-09-27T03:14:49Z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1216491755FC4E0586AD5B6936BD2298</vt:lpwstr>
  </property>
</Properties>
</file>