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5" w:name="_GoBack"/>
      <w:bookmarkEnd w:id="75"/>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597"/>
      <w:bookmarkStart w:id="4" w:name="_Toc15378441"/>
      <w:bookmarkStart w:id="5" w:name="_Toc15396475"/>
      <w:r>
        <w:rPr>
          <w:rFonts w:ascii="黑体" w:hAnsi="黑体" w:eastAsia="黑体"/>
          <w:color w:val="000000"/>
          <w:sz w:val="72"/>
          <w:szCs w:val="72"/>
        </w:rPr>
        <w:t>20</w:t>
      </w:r>
      <w:r>
        <w:rPr>
          <w:rFonts w:hint="eastAsia" w:ascii="黑体" w:hAnsi="黑体" w:eastAsia="黑体"/>
          <w:color w:val="000000"/>
          <w:sz w:val="72"/>
          <w:szCs w:val="72"/>
        </w:rPr>
        <w:t>23</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96598"/>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遂宁市北固初级中学校决算</w:t>
      </w:r>
      <w:bookmarkEnd w:id="6"/>
      <w:bookmarkEnd w:id="7"/>
      <w:bookmarkEnd w:id="8"/>
      <w:bookmarkEnd w:id="9"/>
      <w:bookmarkEnd w:id="10"/>
      <w:bookmarkEnd w:id="11"/>
      <w:r>
        <w:rPr>
          <w:rFonts w:hint="eastAsia" w:ascii="方正小标宋简体" w:hAnsi="宋体" w:eastAsia="方正小标宋简体"/>
          <w:color w:val="000000"/>
          <w:sz w:val="72"/>
          <w:szCs w:val="72"/>
        </w:rPr>
        <w:t>公开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w:t>
      </w:r>
      <w:r>
        <w:rPr>
          <w:rFonts w:hint="eastAsia"/>
        </w:rPr>
        <w:t>24年8月22日</w:t>
      </w:r>
    </w:p>
    <w:p/>
    <w:p>
      <w:pPr>
        <w:pStyle w:val="10"/>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t>4</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w:t>
      </w:r>
      <w:r>
        <w:rPr>
          <w:rStyle w:val="16"/>
          <w:rFonts w:hint="eastAsia"/>
        </w:rPr>
        <w:t>23年度部门决算情况说明</w:t>
      </w:r>
      <w:r>
        <w:tab/>
      </w:r>
      <w:r>
        <w:rPr>
          <w:rFonts w:hint="eastAsia"/>
        </w:rPr>
        <w:t>5</w:t>
      </w:r>
      <w:r>
        <w:rPr>
          <w:rFonts w:hint="eastAsia"/>
        </w:rP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6"/>
          <w:rFonts w:hint="eastAsia" w:ascii="仿宋" w:hAnsi="仿宋" w:eastAsia="仿宋"/>
          <w:bCs/>
          <w:sz w:val="28"/>
          <w:szCs w:val="28"/>
        </w:rPr>
        <w:t>一、</w:t>
      </w:r>
      <w:r>
        <w:rPr>
          <w:rStyle w:val="16"/>
          <w:rFonts w:hint="eastAsia" w:ascii="仿宋" w:hAnsi="仿宋" w:eastAsia="仿宋"/>
          <w:sz w:val="28"/>
          <w:szCs w:val="28"/>
        </w:rPr>
        <w:t>收</w:t>
      </w:r>
      <w:r>
        <w:rPr>
          <w:rStyle w:val="16"/>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6"/>
          <w:rFonts w:hint="eastAsia" w:ascii="仿宋" w:hAnsi="仿宋" w:eastAsia="仿宋"/>
          <w:bCs/>
          <w:sz w:val="28"/>
          <w:szCs w:val="28"/>
        </w:rPr>
        <w:t>二、</w:t>
      </w:r>
      <w:r>
        <w:rPr>
          <w:rStyle w:val="16"/>
          <w:rFonts w:hint="eastAsia" w:ascii="仿宋" w:hAnsi="仿宋" w:eastAsia="仿宋"/>
          <w:sz w:val="28"/>
          <w:szCs w:val="28"/>
        </w:rPr>
        <w:t>收</w:t>
      </w:r>
      <w:r>
        <w:rPr>
          <w:rStyle w:val="16"/>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6"/>
          <w:rFonts w:hint="eastAsia" w:ascii="仿宋" w:hAnsi="仿宋" w:eastAsia="仿宋"/>
          <w:bCs/>
          <w:sz w:val="28"/>
          <w:szCs w:val="28"/>
        </w:rPr>
        <w:t>三、</w:t>
      </w:r>
      <w:r>
        <w:rPr>
          <w:rStyle w:val="16"/>
          <w:rFonts w:hint="eastAsia" w:ascii="仿宋" w:hAnsi="仿宋" w:eastAsia="仿宋"/>
          <w:sz w:val="28"/>
          <w:szCs w:val="28"/>
        </w:rPr>
        <w:t>支</w:t>
      </w:r>
      <w:r>
        <w:rPr>
          <w:rStyle w:val="16"/>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hint="eastAsia" w:ascii="仿宋" w:hAnsi="仿宋" w:eastAsia="仿宋"/>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pPr>
        <w:pStyle w:val="11"/>
        <w:rPr>
          <w:rFonts w:ascii="仿宋" w:hAnsi="仿宋" w:eastAsia="仿宋"/>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bCs/>
          <w:sz w:val="28"/>
          <w:szCs w:val="28"/>
        </w:rPr>
        <w:t>九、</w:t>
      </w:r>
      <w:r>
        <w:rPr>
          <w:rStyle w:val="16"/>
          <w:rFonts w:hint="eastAsia" w:ascii="仿宋" w:hAnsi="仿宋" w:eastAsia="仿宋"/>
          <w:sz w:val="28"/>
          <w:szCs w:val="28"/>
        </w:rPr>
        <w:t>国</w:t>
      </w:r>
      <w:r>
        <w:rPr>
          <w:rStyle w:val="16"/>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1"/>
      </w:pPr>
      <w:r>
        <w:fldChar w:fldCharType="begin"/>
      </w:r>
      <w:r>
        <w:instrText xml:space="preserve"> HYPERLINK \l "_Toc15396611" </w:instrText>
      </w:r>
      <w:r>
        <w:fldChar w:fldCharType="separate"/>
      </w:r>
      <w:r>
        <w:rPr>
          <w:rStyle w:val="16"/>
          <w:rFonts w:hint="eastAsia" w:ascii="仿宋" w:hAnsi="仿宋" w:eastAsia="仿宋"/>
          <w:bCs/>
          <w:sz w:val="28"/>
          <w:szCs w:val="28"/>
        </w:rPr>
        <w:t>十、其他重要事项的情况说明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0"/>
        <w:rPr>
          <w:rFonts w:hint="eastAsia" w:eastAsia="仿宋"/>
          <w:lang w:eastAsia="zh-CN"/>
        </w:rPr>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rPr>
          <w:rFonts w:hint="eastAsia"/>
        </w:rPr>
        <w:t>1</w:t>
      </w:r>
      <w:r>
        <w:rPr>
          <w:rFonts w:hint="eastAsia"/>
        </w:rPr>
        <w:fldChar w:fldCharType="end"/>
      </w:r>
      <w:r>
        <w:rPr>
          <w:rFonts w:hint="eastAsia"/>
          <w:lang w:val="en-US" w:eastAsia="zh-CN"/>
        </w:rPr>
        <w:t>4</w:t>
      </w:r>
    </w:p>
    <w:p>
      <w:pPr>
        <w:pStyle w:val="10"/>
        <w:rPr>
          <w:rFonts w:hint="eastAsia" w:eastAsia="仿宋"/>
          <w:lang w:eastAsia="zh-CN"/>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rPr>
          <w:rFonts w:hint="eastAsia"/>
        </w:rPr>
        <w:t>.1</w:t>
      </w:r>
      <w:r>
        <w:rPr>
          <w:rFonts w:hint="eastAsia"/>
        </w:rPr>
        <w:fldChar w:fldCharType="end"/>
      </w:r>
      <w:r>
        <w:rPr>
          <w:rFonts w:hint="eastAsia"/>
          <w:lang w:val="en-US" w:eastAsia="zh-CN"/>
        </w:rPr>
        <w:t>8</w:t>
      </w:r>
    </w:p>
    <w:p>
      <w:pPr>
        <w:pStyle w:val="11"/>
        <w:rPr>
          <w:rFonts w:hint="eastAsia" w:ascii="仿宋" w:hAnsi="仿宋" w:eastAsia="仿宋"/>
          <w:sz w:val="28"/>
          <w:szCs w:val="28"/>
          <w:lang w:eastAsia="zh-CN"/>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lang w:val="en-US" w:eastAsia="zh-CN"/>
        </w:rPr>
        <w:t>8</w:t>
      </w:r>
    </w:p>
    <w:p>
      <w:pPr>
        <w:pStyle w:val="11"/>
        <w:rPr>
          <w:rFonts w:ascii="仿宋" w:hAnsi="仿宋" w:eastAsia="仿宋"/>
          <w:sz w:val="28"/>
          <w:szCs w:val="28"/>
        </w:rPr>
      </w:pPr>
    </w:p>
    <w:p>
      <w:pPr>
        <w:pStyle w:val="10"/>
        <w:rPr>
          <w:rFonts w:hint="eastAsia" w:eastAsia="仿宋"/>
          <w:lang w:eastAsia="zh-CN"/>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rPr>
          <w:rFonts w:hint="eastAsia"/>
        </w:rPr>
        <w:t>2</w:t>
      </w:r>
      <w:r>
        <w:rPr>
          <w:rFonts w:hint="eastAsia"/>
        </w:rPr>
        <w:fldChar w:fldCharType="end"/>
      </w:r>
      <w:r>
        <w:rPr>
          <w:rFonts w:hint="eastAsia"/>
          <w:lang w:val="en-US" w:eastAsia="zh-CN"/>
        </w:rPr>
        <w:t>8</w:t>
      </w:r>
    </w:p>
    <w:p>
      <w:pPr>
        <w:pStyle w:val="11"/>
        <w:rPr>
          <w:rFonts w:hint="eastAsia" w:ascii="仿宋" w:hAnsi="仿宋" w:eastAsia="仿宋"/>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9</w:t>
      </w:r>
    </w:p>
    <w:p>
      <w:pPr>
        <w:pStyle w:val="11"/>
        <w:rPr>
          <w:rFonts w:hint="eastAsia" w:ascii="仿宋" w:hAnsi="仿宋" w:eastAsia="仿宋"/>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0</w:t>
      </w:r>
    </w:p>
    <w:p>
      <w:pPr>
        <w:pStyle w:val="11"/>
        <w:rPr>
          <w:rFonts w:hint="eastAsia" w:ascii="仿宋" w:hAnsi="仿宋" w:eastAsia="仿宋"/>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1"/>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hint="eastAsia" w:ascii="仿宋" w:hAnsi="仿宋" w:eastAsia="仿宋"/>
          <w:sz w:val="28"/>
          <w:szCs w:val="28"/>
          <w:lang w:val="en-US" w:eastAsia="zh-CN"/>
        </w:rPr>
        <w:t>32</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3</w:t>
      </w:r>
    </w:p>
    <w:p>
      <w:pPr>
        <w:pStyle w:val="11"/>
        <w:rPr>
          <w:rFonts w:hint="eastAsia" w:ascii="仿宋" w:hAnsi="仿宋" w:eastAsia="仿宋"/>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rPr>
        <w:t>3</w:t>
      </w:r>
      <w:r>
        <w:rPr>
          <w:rFonts w:hint="eastAsia" w:ascii="仿宋" w:hAnsi="仿宋" w:eastAsia="仿宋"/>
          <w:sz w:val="28"/>
          <w:szCs w:val="28"/>
          <w:lang w:val="en-US" w:eastAsia="zh-CN"/>
        </w:rPr>
        <w:t>4</w:t>
      </w:r>
    </w:p>
    <w:p>
      <w:pPr>
        <w:pStyle w:val="11"/>
        <w:rPr>
          <w:rFonts w:hint="eastAsia" w:ascii="仿宋" w:hAnsi="仿宋" w:eastAsia="仿宋"/>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r>
        <w:rPr>
          <w:rFonts w:hint="eastAsia" w:ascii="仿宋" w:hAnsi="仿宋" w:eastAsia="仿宋"/>
          <w:sz w:val="28"/>
          <w:szCs w:val="28"/>
          <w:lang w:val="en-US" w:eastAsia="zh-CN"/>
        </w:rPr>
        <w:t>5</w:t>
      </w:r>
    </w:p>
    <w:p>
      <w:pPr>
        <w:pStyle w:val="11"/>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lang w:val="en-US" w:eastAsia="zh-CN"/>
        </w:rPr>
        <w:t>6</w:t>
      </w:r>
      <w:r>
        <w:rPr>
          <w:rFonts w:hint="eastAsia" w:ascii="仿宋" w:hAnsi="仿宋" w:eastAsia="仿宋"/>
          <w:sz w:val="28"/>
          <w:szCs w:val="28"/>
        </w:rPr>
        <w:fldChar w:fldCharType="end"/>
      </w:r>
    </w:p>
    <w:p>
      <w:pPr>
        <w:pStyle w:val="11"/>
        <w:rPr>
          <w:rFonts w:hint="eastAsia" w:ascii="仿宋" w:hAnsi="仿宋" w:eastAsia="仿宋" w:cs="仿宋"/>
          <w:sz w:val="28"/>
          <w:szCs w:val="28"/>
          <w:lang w:eastAsia="zh-CN"/>
        </w:rPr>
      </w:pPr>
      <w:r>
        <w:rPr>
          <w:rFonts w:ascii="黑体" w:hAnsi="黑体" w:eastAsia="黑体"/>
          <w:color w:val="000000"/>
          <w:sz w:val="48"/>
          <w:szCs w:val="48"/>
        </w:rPr>
        <w:fldChar w:fldCharType="end"/>
      </w:r>
      <w:bookmarkStart w:id="12" w:name="_Toc15396599"/>
      <w:bookmarkStart w:id="13" w:name="_Toc15377196"/>
      <w:r>
        <w:rPr>
          <w:rFonts w:hint="eastAsia" w:ascii="仿宋" w:hAnsi="仿宋" w:eastAsia="仿宋" w:cs="仿宋"/>
          <w:sz w:val="28"/>
          <w:szCs w:val="28"/>
        </w:rPr>
        <w:t>十、</w:t>
      </w:r>
      <w:r>
        <w:fldChar w:fldCharType="begin"/>
      </w:r>
      <w:r>
        <w:instrText xml:space="preserve"> HYPERLINK \l "_Toc15396624" </w:instrText>
      </w:r>
      <w:r>
        <w:fldChar w:fldCharType="separate"/>
      </w:r>
      <w:r>
        <w:rPr>
          <w:rFonts w:hint="eastAsia" w:ascii="仿宋" w:hAnsi="仿宋" w:eastAsia="仿宋" w:cs="仿宋"/>
          <w:sz w:val="28"/>
          <w:szCs w:val="28"/>
        </w:rPr>
        <w:t>一般公共预算财政拨款“三公”经费支出决算表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r>
        <w:rPr>
          <w:rFonts w:hint="eastAsia" w:ascii="仿宋" w:hAnsi="仿宋" w:eastAsia="仿宋" w:cs="仿宋"/>
          <w:sz w:val="28"/>
          <w:szCs w:val="28"/>
          <w:lang w:val="en-US" w:eastAsia="zh-CN"/>
        </w:rPr>
        <w:t>7</w:t>
      </w:r>
    </w:p>
    <w:p>
      <w:pPr>
        <w:pStyle w:val="11"/>
        <w:rPr>
          <w:rFonts w:ascii="仿宋" w:hAnsi="仿宋" w:eastAsia="仿宋" w:cs="仿宋"/>
          <w:sz w:val="28"/>
          <w:szCs w:val="28"/>
        </w:rPr>
      </w:pPr>
      <w:r>
        <w:rPr>
          <w:rFonts w:hint="eastAsia" w:ascii="仿宋" w:hAnsi="仿宋" w:eastAsia="仿宋" w:cs="仿宋"/>
          <w:sz w:val="28"/>
          <w:szCs w:val="28"/>
        </w:rPr>
        <w:t>十一、</w:t>
      </w:r>
      <w:r>
        <w:fldChar w:fldCharType="begin"/>
      </w:r>
      <w:r>
        <w:instrText xml:space="preserve"> HYPERLINK \l "_Toc15396625" </w:instrText>
      </w:r>
      <w:r>
        <w:fldChar w:fldCharType="separate"/>
      </w:r>
      <w:r>
        <w:rPr>
          <w:rFonts w:hint="eastAsia" w:ascii="仿宋" w:hAnsi="仿宋" w:eastAsia="仿宋" w:cs="仿宋"/>
          <w:sz w:val="28"/>
          <w:szCs w:val="28"/>
        </w:rPr>
        <w:t>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pPr>
        <w:pStyle w:val="11"/>
        <w:rPr>
          <w:rFonts w:hint="eastAsia" w:ascii="仿宋" w:hAnsi="仿宋" w:eastAsia="仿宋" w:cs="仿宋"/>
          <w:sz w:val="28"/>
          <w:szCs w:val="28"/>
          <w:lang w:eastAsia="zh-CN"/>
        </w:rPr>
      </w:pPr>
      <w:r>
        <w:rPr>
          <w:rFonts w:hint="eastAsia" w:ascii="仿宋" w:hAnsi="仿宋" w:eastAsia="仿宋" w:cs="仿宋"/>
          <w:sz w:val="28"/>
          <w:szCs w:val="28"/>
        </w:rPr>
        <w:t>十二、</w:t>
      </w:r>
      <w:r>
        <w:fldChar w:fldCharType="begin"/>
      </w:r>
      <w:r>
        <w:instrText xml:space="preserve"> HYPERLINK \l "_Toc15396626" </w:instrText>
      </w:r>
      <w:r>
        <w:fldChar w:fldCharType="separate"/>
      </w:r>
      <w:r>
        <w:rPr>
          <w:rFonts w:hint="eastAsia" w:ascii="仿宋" w:hAnsi="仿宋" w:eastAsia="仿宋" w:cs="仿宋"/>
          <w:sz w:val="28"/>
          <w:szCs w:val="28"/>
        </w:rPr>
        <w:t>政府性基金预算财政拨款“三公”经费支出决算表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9</w:t>
      </w:r>
    </w:p>
    <w:p>
      <w:pPr>
        <w:pStyle w:val="11"/>
        <w:rPr>
          <w:rFonts w:ascii="黑体" w:hAnsi="黑体" w:eastAsia="黑体"/>
          <w:bCs/>
          <w:kern w:val="44"/>
          <w:szCs w:val="44"/>
        </w:rPr>
      </w:pPr>
      <w:r>
        <w:rPr>
          <w:rFonts w:hint="eastAsia" w:ascii="仿宋" w:hAnsi="仿宋" w:eastAsia="仿宋" w:cs="仿宋"/>
          <w:sz w:val="28"/>
          <w:szCs w:val="28"/>
        </w:rPr>
        <w:t>十三、</w:t>
      </w:r>
      <w:r>
        <w:fldChar w:fldCharType="begin"/>
      </w:r>
      <w:r>
        <w:instrText xml:space="preserve"> HYPERLINK \l "_Toc15396627" </w:instrText>
      </w:r>
      <w:r>
        <w:fldChar w:fldCharType="separate"/>
      </w:r>
      <w:r>
        <w:rPr>
          <w:rFonts w:hint="eastAsia" w:ascii="仿宋" w:hAnsi="仿宋" w:eastAsia="仿宋" w:cs="仿宋"/>
          <w:sz w:val="28"/>
          <w:szCs w:val="28"/>
        </w:rPr>
        <w:t>国有资本经营预算支出决算表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r>
        <w:rPr>
          <w:rStyle w:val="16"/>
          <w:rFonts w:hint="eastAsia" w:ascii="仿宋" w:hAnsi="仿宋" w:eastAsia="仿宋"/>
          <w:color w:val="auto"/>
          <w:szCs w:val="28"/>
        </w:rPr>
        <w:br w:type="page"/>
      </w:r>
    </w:p>
    <w:p>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cs="仿宋_GB2312"/>
          <w:bCs/>
          <w:sz w:val="32"/>
          <w:szCs w:val="32"/>
          <w:shd w:val="clear" w:color="auto" w:fill="FFFFFF"/>
        </w:rPr>
      </w:pPr>
      <w:bookmarkStart w:id="16" w:name="_Toc15378445"/>
      <w:bookmarkStart w:id="17" w:name="_Toc15377198"/>
      <w:bookmarkStart w:id="18" w:name="_Toc15377200"/>
      <w:bookmarkStart w:id="19" w:name="_Toc15396601"/>
      <w:r>
        <w:rPr>
          <w:rFonts w:hint="eastAsia" w:ascii="仿宋" w:hAnsi="仿宋" w:eastAsia="仿宋"/>
          <w:bCs/>
          <w:color w:val="000000"/>
          <w:sz w:val="32"/>
          <w:szCs w:val="32"/>
        </w:rPr>
        <w:t>（一）主要职能</w:t>
      </w:r>
      <w:bookmarkEnd w:id="16"/>
      <w:bookmarkEnd w:id="17"/>
      <w:bookmarkStart w:id="20" w:name="_Toc15378446"/>
      <w:bookmarkStart w:id="21" w:name="_Toc15377199"/>
      <w:r>
        <w:rPr>
          <w:rFonts w:ascii="仿宋" w:hAnsi="仿宋" w:eastAsia="仿宋"/>
          <w:bCs/>
          <w:color w:val="000000"/>
          <w:sz w:val="32"/>
          <w:szCs w:val="32"/>
        </w:rPr>
        <w:t>:</w:t>
      </w:r>
      <w:r>
        <w:rPr>
          <w:rFonts w:hint="eastAsia" w:ascii="仿宋" w:hAnsi="仿宋" w:eastAsia="仿宋" w:cs="仿宋_GB2312"/>
          <w:bCs/>
          <w:sz w:val="32"/>
          <w:szCs w:val="32"/>
          <w:shd w:val="clear" w:color="auto" w:fill="FFFFFF"/>
        </w:rPr>
        <w:t>认真贯彻国家教育方针</w:t>
      </w:r>
      <w:r>
        <w:rPr>
          <w:rFonts w:ascii="仿宋" w:hAnsi="仿宋" w:eastAsia="仿宋" w:cs="仿宋_GB2312"/>
          <w:bCs/>
          <w:sz w:val="32"/>
          <w:szCs w:val="32"/>
          <w:shd w:val="clear" w:color="auto" w:fill="FFFFFF"/>
        </w:rPr>
        <w:t>,</w:t>
      </w:r>
      <w:r>
        <w:rPr>
          <w:rFonts w:hint="eastAsia" w:ascii="仿宋" w:hAnsi="仿宋" w:eastAsia="仿宋" w:cs="仿宋_GB2312"/>
          <w:bCs/>
          <w:sz w:val="32"/>
          <w:szCs w:val="32"/>
          <w:shd w:val="clear" w:color="auto" w:fill="FFFFFF"/>
        </w:rPr>
        <w:t>全面实施素质教育</w:t>
      </w:r>
      <w:r>
        <w:rPr>
          <w:rFonts w:ascii="仿宋" w:hAnsi="仿宋" w:eastAsia="仿宋" w:cs="仿宋_GB2312"/>
          <w:bCs/>
          <w:sz w:val="32"/>
          <w:szCs w:val="32"/>
          <w:shd w:val="clear" w:color="auto" w:fill="FFFFFF"/>
        </w:rPr>
        <w:t>,</w:t>
      </w:r>
      <w:r>
        <w:rPr>
          <w:rFonts w:hint="eastAsia" w:ascii="仿宋" w:hAnsi="仿宋" w:eastAsia="仿宋" w:cs="仿宋_GB2312"/>
          <w:bCs/>
          <w:sz w:val="32"/>
          <w:szCs w:val="32"/>
          <w:shd w:val="clear" w:color="auto" w:fill="FFFFFF"/>
        </w:rPr>
        <w:t>坚持文化立校、科研兴校、制度建校、服务强校，全面提高教育、教学质量。教育要面向全体学生，面向学生的每一个方面，抓好青少年思想道德、文化知识、劳动技能和身体心理素质的培养和提高，促进学生全面健康发展。</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23年重点工作完成情况。</w:t>
      </w:r>
      <w:bookmarkEnd w:id="20"/>
      <w:bookmarkEnd w:id="21"/>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一是：抓好教学常规工作，努力提高教学质量。</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二是：做好安全教育与宣传工作。</w:t>
      </w:r>
    </w:p>
    <w:p>
      <w:pPr>
        <w:pStyle w:val="3"/>
        <w:rPr>
          <w:rStyle w:val="18"/>
          <w:rFonts w:hint="eastAsia"/>
          <w:b w:val="0"/>
          <w:bCs w:val="0"/>
        </w:rPr>
      </w:pPr>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18"/>
      <w:bookmarkEnd w:id="19"/>
    </w:p>
    <w:p>
      <w:pPr>
        <w:widowControl/>
        <w:ind w:firstLine="640" w:firstLineChars="200"/>
        <w:jc w:val="left"/>
        <w:rPr>
          <w:rFonts w:ascii="仿宋" w:hAnsi="仿宋" w:eastAsia="仿宋"/>
          <w:color w:val="000000"/>
          <w:kern w:val="0"/>
          <w:sz w:val="32"/>
          <w:szCs w:val="32"/>
        </w:rPr>
      </w:pPr>
      <w:bookmarkStart w:id="22" w:name="_Toc15377204"/>
      <w:bookmarkStart w:id="23" w:name="_Toc15396602"/>
      <w:r>
        <w:rPr>
          <w:rFonts w:hint="eastAsia" w:ascii="仿宋" w:hAnsi="仿宋" w:eastAsia="仿宋" w:cs="仿宋_GB2312"/>
          <w:kern w:val="0"/>
          <w:sz w:val="32"/>
          <w:szCs w:val="32"/>
          <w:shd w:val="clear" w:color="auto" w:fill="FFFFFF"/>
        </w:rPr>
        <w:t>我校是一所九年一贯制学校，内设办公室、教务处、德育处、总务处、教科室、保卫科；设有初中部、小学部，共有学生2315人。我校属全额拨款事业单位，现有财政补助人员127人，退休人员46人，遗属人员1人，安保人员5人。</w:t>
      </w:r>
      <w:r>
        <w:rPr>
          <w:rFonts w:ascii="仿宋" w:hAnsi="仿宋" w:eastAsia="仿宋"/>
          <w:color w:val="000000"/>
          <w:sz w:val="32"/>
          <w:szCs w:val="32"/>
        </w:rPr>
        <w:br w:type="page"/>
      </w:r>
    </w:p>
    <w:p>
      <w:pPr>
        <w:pStyle w:val="2"/>
        <w:ind w:right="440"/>
        <w:jc w:val="right"/>
        <w:rPr>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17"/>
          <w:rFonts w:ascii="黑体" w:hAnsi="黑体" w:eastAsia="黑体"/>
          <w:b w:val="0"/>
          <w:bCs w:val="0"/>
        </w:rPr>
        <w:t>20</w:t>
      </w:r>
      <w:r>
        <w:rPr>
          <w:rStyle w:val="17"/>
          <w:rFonts w:hint="eastAsia" w:ascii="黑体" w:hAnsi="黑体" w:eastAsia="黑体"/>
          <w:b w:val="0"/>
          <w:bCs w:val="0"/>
        </w:rPr>
        <w:t>23年度部门决算情况说明</w:t>
      </w:r>
      <w:bookmarkEnd w:id="22"/>
      <w:bookmarkEnd w:id="23"/>
    </w:p>
    <w:p>
      <w:pPr>
        <w:pStyle w:val="28"/>
        <w:numPr>
          <w:ilvl w:val="0"/>
          <w:numId w:val="1"/>
        </w:numPr>
        <w:spacing w:line="600" w:lineRule="exact"/>
        <w:ind w:firstLineChars="0"/>
        <w:outlineLvl w:val="1"/>
        <w:rPr>
          <w:rStyle w:val="1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023年度收入2242.89万元，支出2242.89万元。与</w:t>
      </w:r>
      <w:r>
        <w:rPr>
          <w:rFonts w:ascii="仿宋" w:hAnsi="仿宋" w:eastAsia="仿宋"/>
          <w:color w:val="000000"/>
          <w:sz w:val="32"/>
          <w:szCs w:val="32"/>
        </w:rPr>
        <w:t>20</w:t>
      </w:r>
      <w:r>
        <w:rPr>
          <w:rFonts w:hint="eastAsia" w:ascii="仿宋" w:hAnsi="仿宋" w:eastAsia="仿宋"/>
          <w:color w:val="000000"/>
          <w:sz w:val="32"/>
          <w:szCs w:val="32"/>
        </w:rPr>
        <w:t>22年相比，收入减少136.75万元，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5.75</w:t>
      </w:r>
      <w:r>
        <w:rPr>
          <w:rFonts w:ascii="仿宋" w:hAnsi="仿宋" w:eastAsia="仿宋"/>
          <w:color w:val="000000"/>
          <w:sz w:val="32"/>
          <w:szCs w:val="32"/>
        </w:rPr>
        <w:t>%</w:t>
      </w:r>
      <w:r>
        <w:rPr>
          <w:rFonts w:hint="eastAsia" w:ascii="仿宋" w:hAnsi="仿宋" w:eastAsia="仿宋"/>
          <w:color w:val="000000"/>
          <w:sz w:val="32"/>
          <w:szCs w:val="32"/>
        </w:rPr>
        <w:t>。支出减少64.37万元，减少2.79</w:t>
      </w:r>
      <w:r>
        <w:rPr>
          <w:rFonts w:ascii="仿宋" w:hAnsi="仿宋" w:eastAsia="仿宋"/>
          <w:color w:val="000000"/>
          <w:sz w:val="32"/>
          <w:szCs w:val="32"/>
        </w:rPr>
        <w:t>%</w:t>
      </w:r>
      <w:r>
        <w:rPr>
          <w:rFonts w:hint="eastAsia" w:ascii="仿宋" w:hAnsi="仿宋" w:eastAsia="仿宋"/>
          <w:color w:val="000000"/>
          <w:sz w:val="32"/>
          <w:szCs w:val="32"/>
        </w:rPr>
        <w:t>。主要减少原因是</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经费减少。</w:t>
      </w:r>
    </w:p>
    <w:p>
      <w:pPr>
        <w:spacing w:line="600" w:lineRule="exact"/>
        <w:ind w:firstLine="640" w:firstLineChars="200"/>
        <w:rPr>
          <w:rFonts w:ascii="仿宋" w:hAnsi="仿宋" w:eastAsia="仿宋"/>
          <w:color w:val="000000"/>
          <w:sz w:val="32"/>
          <w:szCs w:val="32"/>
        </w:rPr>
      </w:pPr>
    </w:p>
    <w:p>
      <w:pPr>
        <w:spacing w:line="600" w:lineRule="exact"/>
        <w:ind w:firstLine="2240" w:firstLineChars="700"/>
        <w:rPr>
          <w:rFonts w:ascii="仿宋" w:hAnsi="仿宋" w:eastAsia="仿宋"/>
          <w:color w:val="000000"/>
          <w:sz w:val="32"/>
          <w:szCs w:val="32"/>
        </w:rPr>
      </w:pPr>
      <w:r>
        <w:rPr>
          <w:rFonts w:hint="eastAsia" w:ascii="黑体" w:hAnsi="黑体" w:eastAsia="黑体"/>
          <w:color w:val="000000"/>
          <w:sz w:val="32"/>
          <w:szCs w:val="32"/>
        </w:rPr>
        <w:t>收</w:t>
      </w:r>
      <w:r>
        <w:rPr>
          <w:rStyle w:val="18"/>
          <w:rFonts w:hint="eastAsia" w:ascii="黑体" w:hAnsi="黑体" w:eastAsia="黑体"/>
          <w:b w:val="0"/>
        </w:rPr>
        <w:t>入支出决算总计变动情况图</w:t>
      </w:r>
    </w:p>
    <w:p>
      <w:pPr>
        <w:spacing w:line="600" w:lineRule="exact"/>
        <w:ind w:firstLine="8040" w:firstLineChars="200"/>
        <w:rPr>
          <w:rFonts w:ascii="仿宋" w:hAnsi="仿宋" w:eastAsia="仿宋"/>
          <w:color w:val="000000"/>
          <w:sz w:val="402"/>
          <w:szCs w:val="32"/>
        </w:rPr>
      </w:pPr>
    </w:p>
    <w:p>
      <w:pPr>
        <w:spacing w:line="2800" w:lineRule="exact"/>
        <w:ind w:firstLine="640" w:firstLineChars="200"/>
        <w:rPr>
          <w:rFonts w:ascii="仿宋" w:hAnsi="仿宋" w:eastAsia="仿宋"/>
          <w:color w:val="000000"/>
          <w:sz w:val="32"/>
          <w:szCs w:val="32"/>
        </w:rPr>
      </w:pPr>
      <w:r>
        <w:rPr>
          <w:rFonts w:ascii="仿宋" w:hAnsi="仿宋" w:eastAsia="仿宋"/>
          <w:color w:val="000000"/>
          <w:sz w:val="32"/>
          <w:szCs w:val="32"/>
        </w:rPr>
        <w:object>
          <v:shape id="_x0000_i1025" o:spt="75" type="#_x0000_t75" style="height:108.95pt;width:375.7pt;" o:ole="t" filled="f" o:preferrelative="t" stroked="f" coordsize="21600,21600">
            <v:path/>
            <v:fill on="f" focussize="0,0"/>
            <v:stroke on="f"/>
            <v:imagedata r:id="rId11" cropbottom="-53f" o:title=""/>
            <o:lock v:ext="edit" aspectratio="f"/>
            <w10:wrap type="none"/>
            <w10:anchorlock/>
          </v:shape>
          <o:OLEObject Type="Embed" ProgID="Excel.Chart.8" ShapeID="_x0000_i1025" DrawAspect="Content" ObjectID="_1468075725" r:id="rId10">
            <o:LockedField>false</o:LockedField>
          </o:OLEObject>
        </w:object>
      </w:r>
    </w:p>
    <w:p>
      <w:pPr>
        <w:pStyle w:val="28"/>
        <w:numPr>
          <w:ilvl w:val="0"/>
          <w:numId w:val="1"/>
        </w:numPr>
        <w:spacing w:line="600" w:lineRule="exact"/>
        <w:ind w:firstLineChars="0"/>
        <w:outlineLvl w:val="1"/>
        <w:rPr>
          <w:rStyle w:val="1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26"/>
      <w:bookmarkEnd w:id="27"/>
    </w:p>
    <w:p>
      <w:pPr>
        <w:ind w:firstLine="800" w:firstLineChars="25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年本年收入合计2</w:t>
      </w:r>
      <w:r>
        <w:rPr>
          <w:rFonts w:hint="eastAsia" w:ascii="仿宋" w:hAnsi="仿宋" w:eastAsia="仿宋"/>
          <w:color w:val="000000"/>
          <w:sz w:val="32"/>
          <w:szCs w:val="32"/>
          <w:lang w:val="en-US" w:eastAsia="zh-CN"/>
        </w:rPr>
        <w:t>242.89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2242.89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2880" w:firstLineChars="900"/>
        <w:rPr>
          <w:rFonts w:ascii="黑体" w:hAnsi="黑体" w:eastAsia="黑体"/>
          <w:color w:val="000000"/>
          <w:sz w:val="32"/>
          <w:szCs w:val="32"/>
        </w:rPr>
      </w:pPr>
      <w:r>
        <w:rPr>
          <w:rFonts w:hint="eastAsia" w:ascii="黑体" w:hAnsi="黑体" w:eastAsia="黑体"/>
          <w:color w:val="000000"/>
          <w:sz w:val="32"/>
          <w:szCs w:val="32"/>
        </w:rPr>
        <w:t>收入决算结构图</w:t>
      </w:r>
    </w:p>
    <w:p>
      <w:pPr>
        <w:spacing w:line="600" w:lineRule="exact"/>
        <w:ind w:firstLine="2880" w:firstLineChars="900"/>
        <w:rPr>
          <w:rFonts w:ascii="黑体" w:hAnsi="黑体" w:eastAsia="黑体"/>
          <w:color w:val="000000"/>
          <w:sz w:val="32"/>
          <w:szCs w:val="32"/>
        </w:rPr>
      </w:pPr>
    </w:p>
    <w:p>
      <w:pPr>
        <w:rPr>
          <w:rFonts w:ascii="仿宋_GB2312" w:eastAsia="仿宋_GB2312"/>
          <w:color w:val="FF0000"/>
          <w:sz w:val="32"/>
          <w:szCs w:val="32"/>
        </w:rPr>
      </w:pPr>
      <w:r>
        <w:rPr>
          <w:rFonts w:ascii="仿宋" w:hAnsi="仿宋" w:eastAsia="仿宋"/>
          <w:color w:val="000000"/>
          <w:sz w:val="32"/>
          <w:szCs w:val="32"/>
        </w:rPr>
        <w:object>
          <v:shape id="_x0000_i1026" o:spt="75" type="#_x0000_t75" style="height:193.85pt;width:426.45pt;" o:ole="t" filled="f" o:preferrelative="t" stroked="f" coordsize="21600,21600">
            <v:path/>
            <v:fill on="f" focussize="0,0"/>
            <v:stroke on="f"/>
            <v:imagedata r:id="rId13" cropbottom="-94f" o:title=""/>
            <o:lock v:ext="edit" aspectratio="f"/>
            <w10:wrap type="none"/>
            <w10:anchorlock/>
          </v:shape>
          <o:OLEObject Type="Embed" ProgID="Excel.Chart.8" ShapeID="_x0000_i1026" DrawAspect="Content" ObjectID="_1468075726" r:id="rId12">
            <o:LockedField>false</o:LockedField>
          </o:OLEObject>
        </w:object>
      </w:r>
    </w:p>
    <w:p>
      <w:pPr>
        <w:pStyle w:val="28"/>
        <w:numPr>
          <w:ilvl w:val="0"/>
          <w:numId w:val="1"/>
        </w:numPr>
        <w:spacing w:line="600" w:lineRule="exact"/>
        <w:ind w:firstLineChars="0"/>
        <w:outlineLvl w:val="1"/>
        <w:rPr>
          <w:rStyle w:val="1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8"/>
          <w:rFonts w:hint="eastAsia" w:ascii="黑体" w:hAnsi="黑体" w:eastAsia="黑体"/>
          <w:b w:val="0"/>
        </w:rPr>
        <w:t>出决算情况说明</w:t>
      </w:r>
      <w:bookmarkEnd w:id="28"/>
      <w:bookmarkEnd w:id="29"/>
    </w:p>
    <w:p>
      <w:pPr>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2242.89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2133.36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95.12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109.53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2880" w:firstLineChars="900"/>
        <w:rPr>
          <w:rFonts w:ascii="黑体" w:hAnsi="黑体" w:eastAsia="黑体"/>
          <w:color w:val="000000"/>
          <w:sz w:val="32"/>
          <w:szCs w:val="32"/>
        </w:rPr>
      </w:pPr>
      <w:r>
        <w:rPr>
          <w:rFonts w:hint="eastAsia" w:ascii="黑体" w:hAnsi="黑体" w:eastAsia="黑体"/>
          <w:color w:val="000000"/>
          <w:sz w:val="32"/>
          <w:szCs w:val="32"/>
        </w:rPr>
        <w:t>支出决算结构图</w:t>
      </w:r>
    </w:p>
    <w:p>
      <w:pPr>
        <w:ind w:firstLine="640" w:firstLineChars="200"/>
        <w:rPr>
          <w:rFonts w:ascii="仿宋" w:hAnsi="仿宋" w:eastAsia="仿宋"/>
          <w:color w:val="000000"/>
          <w:sz w:val="32"/>
          <w:szCs w:val="32"/>
        </w:rPr>
      </w:pPr>
    </w:p>
    <w:p>
      <w:pPr>
        <w:rPr>
          <w:rFonts w:ascii="仿宋_GB2312" w:eastAsia="仿宋_GB2312"/>
          <w:color w:val="FF0000"/>
          <w:sz w:val="32"/>
          <w:szCs w:val="32"/>
        </w:rPr>
      </w:pPr>
      <w:r>
        <w:rPr>
          <w:rFonts w:ascii="宋体" w:cs="Arial"/>
          <w:color w:val="000000"/>
          <w:kern w:val="0"/>
          <w:sz w:val="22"/>
          <w:szCs w:val="22"/>
        </w:rPr>
        <w:object>
          <v:shape id="_x0000_i1027" o:spt="75" type="#_x0000_t75" style="height:162.8pt;width:414.35pt;" o:ole="t" filled="f" o:preferrelative="t" stroked="f" coordsize="21600,21600">
            <v:path/>
            <v:fill on="f" focussize="0,0"/>
            <v:stroke on="f"/>
            <v:imagedata r:id="rId15" o:title=""/>
            <o:lock v:ext="edit" aspectratio="f"/>
            <w10:wrap type="none"/>
            <w10:anchorlock/>
          </v:shape>
          <o:OLEObject Type="Embed" ProgID="Excel.Chart.8" ShapeID="_x0000_i1027" DrawAspect="Content" ObjectID="_1468075727" r:id="rId14">
            <o:LockedField>false</o:LockedField>
          </o:OLEObject>
        </w:object>
      </w:r>
    </w:p>
    <w:p>
      <w:pPr>
        <w:numPr>
          <w:ilvl w:val="0"/>
          <w:numId w:val="1"/>
        </w:numPr>
        <w:spacing w:line="600" w:lineRule="exact"/>
        <w:outlineLvl w:val="1"/>
        <w:rPr>
          <w:rStyle w:val="18"/>
          <w:rFonts w:ascii="黑体" w:hAnsi="黑体" w:eastAsia="黑体"/>
          <w:b w:val="0"/>
        </w:rPr>
      </w:pPr>
      <w:bookmarkStart w:id="30" w:name="_Toc15377208"/>
      <w:bookmarkStart w:id="31" w:name="_Toc15396606"/>
      <w:r>
        <w:rPr>
          <w:rFonts w:hint="eastAsia" w:ascii="黑体" w:hAnsi="黑体" w:eastAsia="黑体"/>
          <w:color w:val="000000"/>
          <w:sz w:val="32"/>
          <w:szCs w:val="32"/>
        </w:rPr>
        <w:t>财</w:t>
      </w:r>
      <w:r>
        <w:rPr>
          <w:rStyle w:val="18"/>
          <w:rFonts w:hint="eastAsia" w:ascii="黑体" w:hAnsi="黑体" w:eastAsia="黑体"/>
          <w:b w:val="0"/>
        </w:rPr>
        <w:t>政拨款收入支出决算总体情况说明</w:t>
      </w:r>
      <w:bookmarkEnd w:id="30"/>
      <w:bookmarkEnd w:id="31"/>
    </w:p>
    <w:p>
      <w:pPr>
        <w:spacing w:line="600" w:lineRule="exact"/>
        <w:ind w:firstLine="640" w:firstLineChars="200"/>
        <w:rPr>
          <w:rFonts w:ascii="黑体" w:hAnsi="黑体" w:eastAsia="黑体"/>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2242.89</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47.02</w:t>
      </w:r>
      <w:r>
        <w:rPr>
          <w:rFonts w:hint="eastAsia" w:ascii="仿宋" w:hAnsi="仿宋" w:eastAsia="仿宋"/>
          <w:color w:val="000000"/>
          <w:sz w:val="32"/>
          <w:szCs w:val="32"/>
        </w:rPr>
        <w:t>万元，增加2.</w:t>
      </w:r>
      <w:r>
        <w:rPr>
          <w:rFonts w:hint="eastAsia" w:ascii="仿宋" w:hAnsi="仿宋" w:eastAsia="仿宋"/>
          <w:color w:val="000000"/>
          <w:sz w:val="32"/>
          <w:szCs w:val="32"/>
          <w:lang w:val="en-US" w:eastAsia="zh-CN"/>
        </w:rPr>
        <w:t>14</w:t>
      </w:r>
      <w:r>
        <w:rPr>
          <w:rFonts w:ascii="仿宋" w:hAnsi="仿宋" w:eastAsia="仿宋"/>
          <w:color w:val="000000"/>
          <w:sz w:val="32"/>
          <w:szCs w:val="32"/>
        </w:rPr>
        <w:t>%</w:t>
      </w:r>
      <w:r>
        <w:rPr>
          <w:rFonts w:hint="eastAsia" w:ascii="仿宋" w:hAnsi="仿宋" w:eastAsia="仿宋"/>
          <w:color w:val="000000"/>
          <w:sz w:val="32"/>
          <w:szCs w:val="32"/>
        </w:rPr>
        <w:t xml:space="preserve">。主要变动原因是人员经费增加。 </w:t>
      </w:r>
      <w:bookmarkStart w:id="32" w:name="_Toc15377209"/>
      <w:bookmarkStart w:id="33" w:name="_Toc15396607"/>
    </w:p>
    <w:p>
      <w:pPr>
        <w:spacing w:line="600" w:lineRule="exact"/>
        <w:ind w:firstLine="420" w:firstLineChars="200"/>
        <w:outlineLvl w:val="1"/>
        <w:rPr>
          <w:rStyle w:val="18"/>
          <w:rFonts w:ascii="黑体" w:hAnsi="黑体" w:eastAsia="黑体"/>
          <w:b w:val="0"/>
        </w:rPr>
      </w:pPr>
      <w:r>
        <w:pict>
          <v:shape id="图表 12" o:spid="_x0000_s1032" o:spt="75" type="#_x0000_t75" style="position:absolute;left:0pt;margin-left:9.2pt;margin-top:3.4pt;height:154.2pt;width:391.2pt;mso-wrap-distance-bottom:0pt;mso-wrap-distance-left:9pt;mso-wrap-distance-right:9pt;mso-wrap-distance-top:0pt;z-index:251660288;mso-width-relative:page;mso-height-relative:page;" o:ole="t" filled="f" o:preferrelative="t" stroked="f" coordsize="21600,21600">
            <v:path/>
            <v:fill on="f" focussize="0,0"/>
            <v:stroke on="f"/>
            <v:imagedata r:id="rId17" o:title=""/>
            <o:lock v:ext="edit" aspectratio="t"/>
            <w10:wrap type="square"/>
          </v:shape>
          <o:OLEObject Type="Embed" ProgID="Excel.Sheet.8" ShapeID="图表 12" DrawAspect="Content" ObjectID="_1468075728" r:id="rId16">
            <o:LockedField>false</o:LockedField>
          </o:OLEObject>
        </w:pic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960" w:firstLineChars="3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2242.89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47.02</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2.14</w:t>
      </w:r>
      <w:r>
        <w:rPr>
          <w:rFonts w:ascii="仿宋" w:hAnsi="仿宋" w:eastAsia="仿宋"/>
          <w:color w:val="000000"/>
          <w:sz w:val="32"/>
          <w:szCs w:val="32"/>
        </w:rPr>
        <w:t>%</w:t>
      </w:r>
      <w:r>
        <w:rPr>
          <w:rFonts w:hint="eastAsia" w:ascii="仿宋" w:hAnsi="仿宋" w:eastAsia="仿宋"/>
          <w:color w:val="000000"/>
          <w:sz w:val="32"/>
          <w:szCs w:val="32"/>
        </w:rPr>
        <w:t>。主要变动原因是人员经费支出增加。</w:t>
      </w:r>
    </w:p>
    <w:p>
      <w:pPr>
        <w:spacing w:line="60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一般公共预算财政拨款支出决算变动图表</w:t>
      </w:r>
    </w:p>
    <w:p>
      <w:pPr>
        <w:spacing w:line="3320" w:lineRule="exact"/>
        <w:rPr>
          <w:rFonts w:ascii="仿宋" w:hAnsi="仿宋" w:eastAsia="仿宋"/>
          <w:b/>
          <w:color w:val="000000"/>
          <w:sz w:val="32"/>
          <w:szCs w:val="32"/>
        </w:rPr>
      </w:pPr>
      <w:bookmarkStart w:id="35" w:name="_Toc15377211"/>
      <w:r>
        <w:rPr>
          <w:rFonts w:ascii="仿宋" w:hAnsi="仿宋" w:eastAsia="仿宋"/>
          <w:color w:val="000000"/>
          <w:sz w:val="300"/>
          <w:szCs w:val="144"/>
        </w:rPr>
        <w:object>
          <v:shape id="_x0000_i1028" o:spt="75" type="#_x0000_t75" style="height:134.7pt;width:392.8pt;" o:ole="t" filled="f" o:preferrelative="t" stroked="f" coordsize="21600,21600">
            <v:path/>
            <v:fill on="f" focussize="0,0"/>
            <v:stroke on="f"/>
            <v:imagedata r:id="rId19" cropbottom="-105f" o:title=""/>
            <o:lock v:ext="edit" aspectratio="f"/>
            <w10:wrap type="none"/>
            <w10:anchorlock/>
          </v:shape>
          <o:OLEObject Type="Embed" ProgID="Excel.Chart.8" ShapeID="_x0000_i1028" DrawAspect="Content" ObjectID="_1468075729" r:id="rId18">
            <o:LockedField>false</o:LockedField>
          </o:OLEObject>
        </w:object>
      </w:r>
      <w:bookmarkEnd w:id="35"/>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2242.89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教育（类）</w:t>
      </w:r>
      <w:r>
        <w:rPr>
          <w:rFonts w:hint="eastAsia" w:ascii="仿宋" w:hAnsi="仿宋" w:eastAsia="仿宋"/>
          <w:color w:val="000000"/>
          <w:sz w:val="32"/>
          <w:szCs w:val="32"/>
        </w:rPr>
        <w:t>支出</w:t>
      </w:r>
      <w:r>
        <w:rPr>
          <w:rFonts w:hint="eastAsia" w:ascii="仿宋" w:hAnsi="仿宋" w:eastAsia="仿宋"/>
          <w:bCs/>
          <w:color w:val="000000"/>
          <w:sz w:val="32"/>
          <w:szCs w:val="32"/>
        </w:rPr>
        <w:t>16</w:t>
      </w:r>
      <w:r>
        <w:rPr>
          <w:rFonts w:hint="eastAsia" w:ascii="仿宋" w:hAnsi="仿宋" w:eastAsia="仿宋"/>
          <w:bCs/>
          <w:color w:val="000000"/>
          <w:sz w:val="32"/>
          <w:szCs w:val="32"/>
          <w:lang w:val="en-US" w:eastAsia="zh-CN"/>
        </w:rPr>
        <w:t>61.93</w:t>
      </w:r>
      <w:r>
        <w:rPr>
          <w:rFonts w:hint="eastAsia" w:ascii="仿宋" w:hAnsi="仿宋" w:eastAsia="仿宋"/>
          <w:color w:val="000000"/>
          <w:sz w:val="32"/>
          <w:szCs w:val="32"/>
        </w:rPr>
        <w:t>万元，占7</w:t>
      </w:r>
      <w:r>
        <w:rPr>
          <w:rFonts w:hint="eastAsia" w:ascii="仿宋" w:hAnsi="仿宋" w:eastAsia="仿宋"/>
          <w:color w:val="000000"/>
          <w:sz w:val="32"/>
          <w:szCs w:val="32"/>
          <w:lang w:val="en-US" w:eastAsia="zh-CN"/>
        </w:rPr>
        <w:t>4.10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文化体育与传媒（类）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4.10</w:t>
      </w:r>
      <w:r>
        <w:rPr>
          <w:rFonts w:hint="eastAsia" w:ascii="仿宋" w:hAnsi="仿宋" w:eastAsia="仿宋"/>
          <w:color w:val="000000"/>
          <w:sz w:val="32"/>
          <w:szCs w:val="32"/>
        </w:rPr>
        <w:t>万元，占0.</w:t>
      </w:r>
      <w:r>
        <w:rPr>
          <w:rFonts w:hint="eastAsia" w:ascii="仿宋" w:hAnsi="仿宋" w:eastAsia="仿宋"/>
          <w:color w:val="000000"/>
          <w:sz w:val="32"/>
          <w:szCs w:val="32"/>
          <w:lang w:val="en-US" w:eastAsia="zh-CN"/>
        </w:rPr>
        <w:t>18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314.14</w:t>
      </w:r>
      <w:r>
        <w:rPr>
          <w:rFonts w:hint="eastAsia" w:ascii="仿宋" w:hAnsi="仿宋" w:eastAsia="仿宋"/>
          <w:color w:val="000000"/>
          <w:sz w:val="32"/>
          <w:szCs w:val="32"/>
        </w:rPr>
        <w:t>万元，占</w:t>
      </w:r>
      <w:r>
        <w:rPr>
          <w:rFonts w:ascii="仿宋" w:hAnsi="仿宋" w:eastAsia="仿宋"/>
          <w:color w:val="000000"/>
          <w:sz w:val="32"/>
          <w:szCs w:val="32"/>
        </w:rPr>
        <w:t>1</w:t>
      </w:r>
      <w:r>
        <w:rPr>
          <w:rFonts w:hint="eastAsia" w:ascii="仿宋" w:hAnsi="仿宋" w:eastAsia="仿宋"/>
          <w:color w:val="000000"/>
          <w:sz w:val="32"/>
          <w:szCs w:val="32"/>
          <w:lang w:val="en-US" w:eastAsia="zh-CN"/>
        </w:rPr>
        <w:t>4.01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卫生健康（类）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103.62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支出1</w:t>
      </w:r>
      <w:r>
        <w:rPr>
          <w:rFonts w:hint="eastAsia" w:ascii="仿宋" w:hAnsi="仿宋" w:eastAsia="仿宋"/>
          <w:color w:val="000000"/>
          <w:sz w:val="32"/>
          <w:szCs w:val="32"/>
          <w:lang w:val="en-US" w:eastAsia="zh-CN"/>
        </w:rPr>
        <w:t>59.10</w:t>
      </w:r>
      <w:r>
        <w:rPr>
          <w:rFonts w:hint="eastAsia" w:ascii="仿宋" w:hAnsi="仿宋" w:eastAsia="仿宋"/>
          <w:color w:val="000000"/>
          <w:sz w:val="32"/>
          <w:szCs w:val="32"/>
        </w:rPr>
        <w:t>万元，占7.</w:t>
      </w:r>
      <w:r>
        <w:rPr>
          <w:rFonts w:hint="eastAsia" w:ascii="仿宋" w:hAnsi="仿宋" w:eastAsia="仿宋"/>
          <w:color w:val="000000"/>
          <w:sz w:val="32"/>
          <w:szCs w:val="32"/>
          <w:lang w:val="en-US" w:eastAsia="zh-CN"/>
        </w:rPr>
        <w:t>09</w:t>
      </w:r>
      <w:r>
        <w:rPr>
          <w:rFonts w:ascii="仿宋" w:hAnsi="仿宋" w:eastAsia="仿宋"/>
          <w:color w:val="000000"/>
          <w:sz w:val="32"/>
          <w:szCs w:val="32"/>
        </w:rPr>
        <w:t>%%</w:t>
      </w:r>
    </w:p>
    <w:p>
      <w:pPr>
        <w:spacing w:line="600" w:lineRule="exact"/>
        <w:ind w:firstLine="420" w:firstLineChars="200"/>
        <w:jc w:val="center"/>
        <w:rPr>
          <w:rFonts w:ascii="仿宋" w:hAnsi="仿宋" w:eastAsia="仿宋"/>
          <w:color w:val="000000"/>
          <w:sz w:val="32"/>
          <w:szCs w:val="32"/>
        </w:rPr>
      </w:pPr>
      <w:r>
        <w:pict>
          <v:shape id="_x0000_s1027" o:spid="_x0000_s1027" o:spt="75" type="#_x0000_t75" style="position:absolute;left:0pt;margin-left:13.95pt;margin-top:20.65pt;height:207.85pt;width:349.3pt;mso-wrap-distance-bottom:0pt;mso-wrap-distance-left:9pt;mso-wrap-distance-right:9pt;mso-wrap-distance-top:0pt;z-index:251659264;mso-width-relative:page;mso-height-relative:page;" o:ole="t" filled="f" o:preferrelative="t" stroked="f" coordsize="21600,21600">
            <v:path/>
            <v:fill on="f" focussize="0,0"/>
            <v:stroke on="f"/>
            <v:imagedata r:id="rId21" o:title=""/>
            <o:lock v:ext="edit" aspectratio="f"/>
            <w10:wrap type="square"/>
          </v:shape>
          <o:OLEObject Type="Embed" ProgID="Excel.Sheet.8" ShapeID="_x0000_s1027" DrawAspect="Content" ObjectID="_1468075730" r:id="rId20">
            <o:LockedField>false</o:LockedField>
          </o:OLEObject>
        </w:pict>
      </w:r>
    </w:p>
    <w:p>
      <w:pPr>
        <w:spacing w:line="600" w:lineRule="exact"/>
        <w:ind w:firstLine="643" w:firstLineChars="200"/>
        <w:outlineLvl w:val="2"/>
        <w:rPr>
          <w:rFonts w:ascii="仿宋" w:hAnsi="仿宋" w:eastAsia="仿宋"/>
          <w:b/>
          <w:color w:val="000000"/>
          <w:sz w:val="32"/>
          <w:szCs w:val="32"/>
        </w:rPr>
      </w:pPr>
      <w:bookmarkStart w:id="36" w:name="_Toc15377212"/>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b/>
          <w:color w:val="000000"/>
          <w:sz w:val="32"/>
          <w:szCs w:val="32"/>
        </w:rPr>
      </w:pPr>
      <w:bookmarkStart w:id="37" w:name="_Toc15377213"/>
      <w:bookmarkStart w:id="38" w:name="_Toc15378460"/>
      <w:bookmarkStart w:id="39" w:name="_Toc15377444"/>
      <w:r>
        <w:rPr>
          <w:rFonts w:ascii="仿宋" w:hAnsi="仿宋" w:eastAsia="仿宋"/>
          <w:b/>
          <w:color w:val="000000"/>
          <w:sz w:val="32"/>
          <w:szCs w:val="32"/>
        </w:rPr>
        <w:t>20</w:t>
      </w:r>
      <w:r>
        <w:rPr>
          <w:rFonts w:hint="eastAsia" w:ascii="仿宋" w:hAnsi="仿宋" w:eastAsia="仿宋"/>
          <w:b/>
          <w:color w:val="000000"/>
          <w:sz w:val="32"/>
          <w:szCs w:val="32"/>
        </w:rPr>
        <w:t>2</w:t>
      </w: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2242.89</w:t>
      </w:r>
      <w:r>
        <w:rPr>
          <w:rFonts w:hint="eastAsia" w:ascii="仿宋" w:hAnsi="仿宋" w:eastAsia="仿宋"/>
          <w:b/>
          <w:color w:val="000000"/>
          <w:sz w:val="32"/>
          <w:szCs w:val="32"/>
        </w:rPr>
        <w:t>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_GB2312" w:hAnsi="仿宋_GB2312" w:eastAsia="仿宋_GB2312" w:cs="仿宋_GB2312"/>
          <w:b/>
          <w:color w:val="000000"/>
          <w:sz w:val="32"/>
          <w:szCs w:val="32"/>
        </w:rPr>
      </w:pPr>
      <w:r>
        <w:rPr>
          <w:rStyle w:val="15"/>
          <w:rFonts w:ascii="仿宋_GB2312" w:hAnsi="仿宋_GB2312" w:eastAsia="仿宋_GB2312" w:cs="仿宋_GB2312"/>
          <w:bCs/>
          <w:color w:val="000000"/>
          <w:sz w:val="32"/>
          <w:szCs w:val="32"/>
        </w:rPr>
        <w:t>1.</w:t>
      </w:r>
      <w:r>
        <w:rPr>
          <w:rStyle w:val="15"/>
          <w:rFonts w:hint="eastAsia" w:ascii="仿宋_GB2312" w:hAnsi="仿宋_GB2312" w:eastAsia="仿宋_GB2312" w:cs="仿宋_GB2312"/>
          <w:bCs/>
          <w:color w:val="000000"/>
          <w:sz w:val="32"/>
          <w:szCs w:val="32"/>
        </w:rPr>
        <w:t>教育支出（类）普通教育（款）小学教育（项）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971.27</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spacing w:line="600" w:lineRule="exact"/>
        <w:ind w:firstLine="964" w:firstLineChars="3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教育支出（类）普通教育（款）初中教育（项）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657.31</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spacing w:line="600" w:lineRule="exact"/>
        <w:ind w:firstLine="964" w:firstLineChars="3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教育支出（类）教育费附加安排（款）其他教育费附加安排（项）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33.35</w:t>
      </w:r>
      <w:r>
        <w:rPr>
          <w:rStyle w:val="15"/>
          <w:rFonts w:hint="eastAsia" w:ascii="仿宋_GB2312" w:hAnsi="仿宋_GB2312" w:eastAsia="仿宋_GB2312" w:cs="仿宋_GB2312"/>
          <w:b w:val="0"/>
          <w:bCs/>
          <w:color w:val="000000"/>
          <w:sz w:val="32"/>
          <w:szCs w:val="32"/>
        </w:rPr>
        <w:t>万元，完成预算100</w:t>
      </w:r>
      <w:r>
        <w:rPr>
          <w:rStyle w:val="15"/>
          <w:rFonts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2</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Cs/>
          <w:color w:val="000000"/>
          <w:sz w:val="32"/>
          <w:szCs w:val="32"/>
        </w:rPr>
        <w:t>文化旅游体育与传媒支出（类）体育（款）体育</w:t>
      </w:r>
      <w:r>
        <w:rPr>
          <w:rStyle w:val="15"/>
          <w:rFonts w:hint="eastAsia" w:ascii="仿宋_GB2312" w:hAnsi="仿宋_GB2312" w:eastAsia="仿宋_GB2312" w:cs="仿宋_GB2312"/>
          <w:bCs/>
          <w:color w:val="000000"/>
          <w:sz w:val="32"/>
          <w:szCs w:val="32"/>
          <w:lang w:eastAsia="zh-CN"/>
        </w:rPr>
        <w:t>竞赛</w:t>
      </w:r>
      <w:r>
        <w:rPr>
          <w:rStyle w:val="15"/>
          <w:rFonts w:hint="eastAsia" w:ascii="仿宋_GB2312" w:hAnsi="仿宋_GB2312" w:eastAsia="仿宋_GB2312" w:cs="仿宋_GB2312"/>
          <w:bCs/>
          <w:color w:val="000000"/>
          <w:sz w:val="32"/>
          <w:szCs w:val="32"/>
        </w:rPr>
        <w:t>（项）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4.10</w:t>
      </w:r>
      <w:r>
        <w:rPr>
          <w:rStyle w:val="15"/>
          <w:rFonts w:hint="eastAsia" w:ascii="仿宋_GB2312" w:hAnsi="仿宋_GB2312" w:eastAsia="仿宋_GB2312" w:cs="仿宋_GB2312"/>
          <w:b w:val="0"/>
          <w:bCs/>
          <w:color w:val="000000"/>
          <w:sz w:val="32"/>
          <w:szCs w:val="32"/>
        </w:rPr>
        <w:t>万元，完成预算100</w:t>
      </w:r>
      <w:r>
        <w:rPr>
          <w:rStyle w:val="15"/>
          <w:rFonts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3</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Cs/>
          <w:color w:val="000000"/>
          <w:sz w:val="32"/>
          <w:szCs w:val="32"/>
        </w:rPr>
        <w:t>社会保障和就业支出（类）行政事业单位养老（款）事业单位离退休（项）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支出决算为96.</w:t>
      </w:r>
      <w:r>
        <w:rPr>
          <w:rStyle w:val="15"/>
          <w:rFonts w:hint="eastAsia" w:ascii="仿宋_GB2312" w:hAnsi="仿宋_GB2312" w:eastAsia="仿宋_GB2312" w:cs="仿宋_GB2312"/>
          <w:b w:val="0"/>
          <w:bCs/>
          <w:color w:val="000000"/>
          <w:sz w:val="32"/>
          <w:szCs w:val="32"/>
          <w:lang w:val="en-US" w:eastAsia="zh-CN"/>
        </w:rPr>
        <w:t>26</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社会保障和就业支出（类）行政事业单位养老（款）机关事业单位基本养老保险缴费</w:t>
      </w:r>
      <w:r>
        <w:rPr>
          <w:rStyle w:val="15"/>
          <w:rFonts w:hint="eastAsia" w:ascii="仿宋_GB2312" w:hAnsi="仿宋_GB2312" w:eastAsia="仿宋_GB2312" w:cs="仿宋_GB2312"/>
          <w:bCs/>
          <w:color w:val="000000"/>
          <w:sz w:val="32"/>
          <w:szCs w:val="32"/>
          <w:lang w:eastAsia="zh-CN"/>
        </w:rPr>
        <w:t>支出</w:t>
      </w:r>
      <w:r>
        <w:rPr>
          <w:rStyle w:val="15"/>
          <w:rFonts w:hint="eastAsia" w:ascii="仿宋_GB2312" w:hAnsi="仿宋_GB2312" w:eastAsia="仿宋_GB2312" w:cs="仿宋_GB2312"/>
          <w:bCs/>
          <w:color w:val="000000"/>
          <w:sz w:val="32"/>
          <w:szCs w:val="32"/>
        </w:rPr>
        <w:t>（项）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支出决算为1</w:t>
      </w:r>
      <w:r>
        <w:rPr>
          <w:rStyle w:val="15"/>
          <w:rFonts w:hint="eastAsia" w:ascii="仿宋_GB2312" w:hAnsi="仿宋_GB2312" w:eastAsia="仿宋_GB2312" w:cs="仿宋_GB2312"/>
          <w:b w:val="0"/>
          <w:bCs/>
          <w:color w:val="000000"/>
          <w:sz w:val="32"/>
          <w:szCs w:val="32"/>
          <w:lang w:val="en-US" w:eastAsia="zh-CN"/>
        </w:rPr>
        <w:t>96.98</w:t>
      </w:r>
      <w:r>
        <w:rPr>
          <w:rStyle w:val="15"/>
          <w:rFonts w:hint="eastAsia" w:ascii="仿宋_GB2312" w:hAnsi="仿宋_GB2312" w:eastAsia="仿宋_GB2312" w:cs="仿宋_GB2312"/>
          <w:b w:val="0"/>
          <w:bCs/>
          <w:color w:val="000000"/>
          <w:sz w:val="32"/>
          <w:szCs w:val="32"/>
        </w:rPr>
        <w:t>万元，完成预算100</w:t>
      </w:r>
      <w:r>
        <w:rPr>
          <w:rStyle w:val="15"/>
          <w:rFonts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社会保障和就业支出（类）行政事业单位养老（款）机关事业单位</w:t>
      </w:r>
      <w:r>
        <w:rPr>
          <w:rStyle w:val="15"/>
          <w:rFonts w:hint="eastAsia" w:ascii="仿宋_GB2312" w:hAnsi="仿宋_GB2312" w:eastAsia="仿宋_GB2312" w:cs="仿宋_GB2312"/>
          <w:bCs/>
          <w:color w:val="000000"/>
          <w:sz w:val="32"/>
          <w:szCs w:val="32"/>
          <w:lang w:eastAsia="zh-CN"/>
        </w:rPr>
        <w:t>职业年金</w:t>
      </w:r>
      <w:r>
        <w:rPr>
          <w:rStyle w:val="15"/>
          <w:rFonts w:hint="eastAsia" w:ascii="仿宋_GB2312" w:hAnsi="仿宋_GB2312" w:eastAsia="仿宋_GB2312" w:cs="仿宋_GB2312"/>
          <w:bCs/>
          <w:color w:val="000000"/>
          <w:sz w:val="32"/>
          <w:szCs w:val="32"/>
        </w:rPr>
        <w:t>缴费</w:t>
      </w:r>
      <w:r>
        <w:rPr>
          <w:rStyle w:val="15"/>
          <w:rFonts w:hint="eastAsia" w:ascii="仿宋_GB2312" w:hAnsi="仿宋_GB2312" w:eastAsia="仿宋_GB2312" w:cs="仿宋_GB2312"/>
          <w:bCs/>
          <w:color w:val="000000"/>
          <w:sz w:val="32"/>
          <w:szCs w:val="32"/>
          <w:lang w:eastAsia="zh-CN"/>
        </w:rPr>
        <w:t>支出</w:t>
      </w:r>
      <w:r>
        <w:rPr>
          <w:rStyle w:val="15"/>
          <w:rFonts w:hint="eastAsia" w:ascii="仿宋_GB2312" w:hAnsi="仿宋_GB2312" w:eastAsia="仿宋_GB2312" w:cs="仿宋_GB2312"/>
          <w:bCs/>
          <w:color w:val="000000"/>
          <w:sz w:val="32"/>
          <w:szCs w:val="32"/>
        </w:rPr>
        <w:t>（项）</w:t>
      </w:r>
      <w:r>
        <w:rPr>
          <w:rStyle w:val="15"/>
          <w:rFonts w:ascii="仿宋_GB2312" w:hAnsi="仿宋_GB2312" w:eastAsia="仿宋_GB2312" w:cs="仿宋_GB2312"/>
          <w:bCs/>
          <w:color w:val="000000"/>
          <w:sz w:val="32"/>
          <w:szCs w:val="32"/>
        </w:rPr>
        <w:t>:</w:t>
      </w:r>
      <w:r>
        <w:rPr>
          <w:rStyle w:val="15"/>
          <w:rFonts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20.90</w:t>
      </w:r>
      <w:r>
        <w:rPr>
          <w:rStyle w:val="15"/>
          <w:rFonts w:hint="eastAsia" w:ascii="仿宋_GB2312" w:hAnsi="仿宋_GB2312" w:eastAsia="仿宋_GB2312" w:cs="仿宋_GB2312"/>
          <w:b w:val="0"/>
          <w:bCs/>
          <w:color w:val="000000"/>
          <w:sz w:val="32"/>
          <w:szCs w:val="32"/>
        </w:rPr>
        <w:t>万元，完成预算100</w:t>
      </w:r>
      <w:r>
        <w:rPr>
          <w:rStyle w:val="15"/>
          <w:rFonts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4.</w:t>
      </w:r>
      <w:r>
        <w:rPr>
          <w:rStyle w:val="15"/>
          <w:rFonts w:hint="eastAsia" w:ascii="仿宋_GB2312" w:hAnsi="仿宋_GB2312" w:eastAsia="仿宋_GB2312" w:cs="仿宋_GB2312"/>
          <w:bCs/>
          <w:color w:val="000000"/>
          <w:sz w:val="32"/>
          <w:szCs w:val="32"/>
        </w:rPr>
        <w:t>卫生健康（类）</w:t>
      </w:r>
      <w:r>
        <w:rPr>
          <w:rStyle w:val="15"/>
          <w:rFonts w:hint="eastAsia" w:ascii="仿宋_GB2312" w:hAnsi="仿宋_GB2312" w:eastAsia="仿宋_GB2312" w:cs="仿宋_GB2312"/>
          <w:bCs/>
          <w:color w:val="000000"/>
          <w:sz w:val="32"/>
          <w:szCs w:val="32"/>
          <w:lang w:eastAsia="zh-CN"/>
        </w:rPr>
        <w:t>公共卫生</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重大公共卫生服务</w:t>
      </w:r>
      <w:r>
        <w:rPr>
          <w:rStyle w:val="15"/>
          <w:rFonts w:hint="eastAsia" w:ascii="仿宋_GB2312" w:hAnsi="仿宋_GB2312" w:eastAsia="仿宋_GB2312" w:cs="仿宋_GB2312"/>
          <w:bCs/>
          <w:color w:val="000000"/>
          <w:sz w:val="32"/>
          <w:szCs w:val="32"/>
        </w:rPr>
        <w:t>（项）</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1.20</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hint="eastAsia"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卫生健康（类）</w:t>
      </w:r>
      <w:r>
        <w:rPr>
          <w:rStyle w:val="15"/>
          <w:rFonts w:hint="eastAsia" w:ascii="仿宋_GB2312" w:hAnsi="仿宋_GB2312" w:eastAsia="仿宋_GB2312" w:cs="仿宋_GB2312"/>
          <w:bCs/>
          <w:color w:val="000000"/>
          <w:sz w:val="32"/>
          <w:szCs w:val="32"/>
          <w:lang w:eastAsia="zh-CN"/>
        </w:rPr>
        <w:t>公共卫生</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其他公共卫生支出</w:t>
      </w:r>
      <w:r>
        <w:rPr>
          <w:rStyle w:val="15"/>
          <w:rFonts w:hint="eastAsia" w:ascii="仿宋_GB2312" w:hAnsi="仿宋_GB2312" w:eastAsia="仿宋_GB2312" w:cs="仿宋_GB2312"/>
          <w:bCs/>
          <w:color w:val="000000"/>
          <w:sz w:val="32"/>
          <w:szCs w:val="32"/>
        </w:rPr>
        <w:t>（项）</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3.65</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卫生健康（类）行政事业单位医疗（款）事业单位医疗（项）</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97.32</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卫生健康（类）</w:t>
      </w:r>
      <w:r>
        <w:rPr>
          <w:rStyle w:val="15"/>
          <w:rFonts w:hint="eastAsia" w:ascii="仿宋_GB2312" w:hAnsi="仿宋_GB2312" w:eastAsia="仿宋_GB2312" w:cs="仿宋_GB2312"/>
          <w:bCs/>
          <w:color w:val="000000"/>
          <w:sz w:val="32"/>
          <w:szCs w:val="32"/>
          <w:lang w:eastAsia="zh-CN"/>
        </w:rPr>
        <w:t>其他卫生健康支出</w:t>
      </w:r>
      <w:r>
        <w:rPr>
          <w:rStyle w:val="15"/>
          <w:rFonts w:hint="eastAsia" w:ascii="仿宋_GB2312" w:hAnsi="仿宋_GB2312" w:eastAsia="仿宋_GB2312" w:cs="仿宋_GB2312"/>
          <w:bCs/>
          <w:color w:val="000000"/>
          <w:sz w:val="32"/>
          <w:szCs w:val="32"/>
        </w:rPr>
        <w:t>（款）</w:t>
      </w:r>
      <w:r>
        <w:rPr>
          <w:rStyle w:val="15"/>
          <w:rFonts w:hint="eastAsia" w:ascii="仿宋_GB2312" w:hAnsi="仿宋_GB2312" w:eastAsia="仿宋_GB2312" w:cs="仿宋_GB2312"/>
          <w:bCs/>
          <w:color w:val="000000"/>
          <w:sz w:val="32"/>
          <w:szCs w:val="32"/>
          <w:lang w:eastAsia="zh-CN"/>
        </w:rPr>
        <w:t>其他卫生健康支出</w:t>
      </w:r>
      <w:r>
        <w:rPr>
          <w:rStyle w:val="15"/>
          <w:rFonts w:hint="eastAsia" w:ascii="仿宋_GB2312" w:hAnsi="仿宋_GB2312" w:eastAsia="仿宋_GB2312" w:cs="仿宋_GB2312"/>
          <w:bCs/>
          <w:color w:val="000000"/>
          <w:sz w:val="32"/>
          <w:szCs w:val="32"/>
        </w:rPr>
        <w:t>（项）</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1.46</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numPr>
          <w:ilvl w:val="0"/>
          <w:numId w:val="2"/>
        </w:num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住房保障（类）住房改革（款）事住房公积金（项）</w:t>
      </w:r>
      <w:r>
        <w:rPr>
          <w:rStyle w:val="15"/>
          <w:rFonts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159.10</w:t>
      </w:r>
      <w:r>
        <w:rPr>
          <w:rStyle w:val="15"/>
          <w:rFonts w:hint="eastAsia" w:ascii="仿宋_GB2312" w:hAnsi="仿宋_GB2312" w:eastAsia="仿宋_GB2312" w:cs="仿宋_GB2312"/>
          <w:b w:val="0"/>
          <w:bCs/>
          <w:color w:val="000000"/>
          <w:sz w:val="32"/>
          <w:szCs w:val="32"/>
        </w:rPr>
        <w:t>万元，完成预算</w:t>
      </w:r>
      <w:r>
        <w:rPr>
          <w:rStyle w:val="15"/>
          <w:rFonts w:ascii="仿宋_GB2312" w:hAnsi="仿宋_GB2312" w:eastAsia="仿宋_GB2312" w:cs="仿宋_GB2312"/>
          <w:b w:val="0"/>
          <w:bCs/>
          <w:color w:val="000000"/>
          <w:sz w:val="32"/>
          <w:szCs w:val="32"/>
        </w:rPr>
        <w:t>100%</w:t>
      </w:r>
      <w:r>
        <w:rPr>
          <w:rStyle w:val="15"/>
          <w:rFonts w:hint="eastAsia" w:ascii="仿宋_GB2312" w:hAnsi="仿宋_GB2312" w:eastAsia="仿宋_GB2312" w:cs="仿宋_GB2312"/>
          <w:b w:val="0"/>
          <w:bCs/>
          <w:color w:val="000000"/>
          <w:sz w:val="32"/>
          <w:szCs w:val="32"/>
        </w:rPr>
        <w:t>。</w:t>
      </w:r>
    </w:p>
    <w:p>
      <w:pPr>
        <w:tabs>
          <w:tab w:val="right" w:pos="8306"/>
        </w:tabs>
        <w:spacing w:line="600" w:lineRule="exact"/>
        <w:ind w:firstLine="640" w:firstLineChars="200"/>
        <w:outlineLvl w:val="1"/>
        <w:rPr>
          <w:rStyle w:val="18"/>
          <w:rFonts w:hint="eastAsia"/>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2133.36</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w:t>
      </w:r>
      <w:r>
        <w:rPr>
          <w:rFonts w:hint="eastAsia" w:ascii="仿宋" w:hAnsi="仿宋" w:eastAsia="仿宋"/>
          <w:color w:val="000000"/>
          <w:sz w:val="32"/>
          <w:szCs w:val="32"/>
          <w:lang w:val="en-US" w:eastAsia="zh-CN"/>
        </w:rPr>
        <w:t>891.70</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公用经费2</w:t>
      </w:r>
      <w:r>
        <w:rPr>
          <w:rFonts w:hint="eastAsia" w:ascii="仿宋" w:hAnsi="仿宋" w:eastAsia="仿宋"/>
          <w:color w:val="000000"/>
          <w:sz w:val="32"/>
          <w:szCs w:val="32"/>
          <w:lang w:val="en-US" w:eastAsia="zh-CN"/>
        </w:rPr>
        <w:t>41.66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bookmarkStart w:id="46" w:name="_Toc15377218"/>
      <w:bookmarkStart w:id="47" w:name="_Toc15396610"/>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0%</w:t>
      </w:r>
      <w:r>
        <w:rPr>
          <w:rStyle w:val="15"/>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黑体" w:eastAsia="黑体"/>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18"/>
          <w:rFonts w:ascii="黑体" w:hAnsi="黑体" w:eastAsia="黑体"/>
          <w:b w:val="0"/>
        </w:rPr>
      </w:pPr>
      <w:bookmarkStart w:id="48" w:name="_Toc15377219"/>
      <w:bookmarkStart w:id="49" w:name="_Toc15396611"/>
      <w:r>
        <w:rPr>
          <w:rStyle w:val="18"/>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firstLineChars="200"/>
        <w:outlineLvl w:val="1"/>
        <w:rPr>
          <w:rStyle w:val="18"/>
          <w:rFonts w:ascii="黑体" w:hAnsi="黑体" w:eastAsia="黑体"/>
        </w:rPr>
      </w:pPr>
      <w:r>
        <w:rPr>
          <w:rStyle w:val="18"/>
          <w:rFonts w:hint="eastAsia" w:ascii="黑体" w:hAnsi="黑体" w:eastAsia="黑体"/>
          <w:b w:val="0"/>
        </w:rPr>
        <w:t>十、其他重要事项的情况说明</w:t>
      </w:r>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rPr>
          <w:rFonts w:ascii="仿宋" w:hAnsi="仿宋" w:eastAsia="仿宋"/>
          <w:b/>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年，我校机关运行经费支出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年，我校政府采购支出总额0万元，其中：政府采购货物支出0万元、政府采购工程支出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万元。主要用于改善教学条件。授予中小企业合同金额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Style w:val="18"/>
          <w:rFonts w:ascii="黑体" w:hAnsi="黑体" w:eastAsia="黑体"/>
          <w:b w:val="0"/>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日，我校共有车辆</w:t>
      </w:r>
      <w:r>
        <w:rPr>
          <w:rFonts w:ascii="仿宋_GB2312" w:eastAsia="仿宋_GB2312"/>
          <w:color w:val="000000"/>
          <w:sz w:val="32"/>
          <w:szCs w:val="32"/>
        </w:rPr>
        <w:t>0</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pStyle w:val="28"/>
        <w:spacing w:line="580" w:lineRule="exact"/>
        <w:ind w:left="709" w:firstLine="0" w:firstLineChars="0"/>
        <w:rPr>
          <w:rStyle w:val="18"/>
          <w:rFonts w:ascii="黑体" w:hAnsi="黑体" w:eastAsia="黑体"/>
          <w:b w:val="0"/>
        </w:rPr>
      </w:pPr>
      <w:r>
        <w:rPr>
          <w:rFonts w:hint="eastAsia" w:ascii="仿宋" w:hAnsi="仿宋" w:eastAsia="仿宋"/>
          <w:b/>
          <w:color w:val="000000"/>
          <w:sz w:val="32"/>
          <w:szCs w:val="32"/>
        </w:rPr>
        <w:t>（四）</w:t>
      </w:r>
      <w:r>
        <w:rPr>
          <w:rStyle w:val="18"/>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bookmarkStart w:id="53" w:name="_Toc15396612"/>
      <w:bookmarkStart w:id="54" w:name="_Toc15377221"/>
      <w:r>
        <w:rPr>
          <w:rFonts w:hint="eastAsia" w:ascii="仿宋_GB2312" w:hAnsi="仿宋_GB2312" w:eastAsia="仿宋_GB2312" w:cs="仿宋_GB2312"/>
          <w:sz w:val="32"/>
          <w:szCs w:val="32"/>
        </w:rPr>
        <w:t>根据预算绩效管理要求，本部门（遂宁市北固初级中学校）在年初预算编制阶段，组织对保安服务支出</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项目开展了预算事前绩效评估，对1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开展绩效自评，从评价情况来看能确保教职工基本工资、津贴补贴、绩效工资按时足额发放，让教职工安心工作，顺利完成教育教学任务，努力提高教学成绩；充分保障教职工的合法权益，教职工享受到组织的关怀与温暖，爱岗敬业，乐于奉献；退休教职工老有所乐；遗属人员生活有保障。项目支出保障广大师生的生命财产安全，维护学校正常教育教学秩序。</w:t>
      </w:r>
    </w:p>
    <w:p>
      <w:p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年度部门决算中反映“保安服务费”、等1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w:t>
      </w:r>
    </w:p>
    <w:p>
      <w:p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年部门整体支出绩效评价情况开展自评，《遂宁经济开发区北固初级中学校</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年部门整体支出绩效评价报告》见附件1。</w:t>
      </w:r>
    </w:p>
    <w:bookmarkEnd w:id="53"/>
    <w:bookmarkEnd w:id="54"/>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3" w:firstLineChars="150"/>
        <w:jc w:val="center"/>
        <w:outlineLvl w:val="0"/>
        <w:rPr>
          <w:rStyle w:val="17"/>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7"/>
        <w:spacing w:line="560" w:lineRule="exact"/>
        <w:ind w:firstLine="640" w:firstLineChars="200"/>
        <w:rPr>
          <w:rFonts w:hAnsi="仿宋"/>
          <w:sz w:val="32"/>
          <w:szCs w:val="32"/>
        </w:rPr>
      </w:pPr>
      <w:bookmarkStart w:id="57" w:name="_Toc15377226"/>
      <w:r>
        <w:rPr>
          <w:rFonts w:hAnsi="仿宋"/>
          <w:sz w:val="32"/>
          <w:szCs w:val="32"/>
        </w:rPr>
        <w:t>1.</w:t>
      </w:r>
      <w:r>
        <w:rPr>
          <w:rFonts w:hint="eastAsia" w:hAnsi="仿宋"/>
          <w:sz w:val="32"/>
          <w:szCs w:val="32"/>
        </w:rPr>
        <w:t>财政拨款收入：指单位从同级财政部门取得的财政预算资金。</w:t>
      </w:r>
    </w:p>
    <w:p>
      <w:pPr>
        <w:pStyle w:val="27"/>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27"/>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27"/>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p>
    <w:p>
      <w:pPr>
        <w:pStyle w:val="27"/>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27"/>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7"/>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7"/>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、教育支出（类）普通教育（款）学前教育（项）：指各部门举办的学前教育支出。</w:t>
      </w:r>
    </w:p>
    <w:p>
      <w:pPr>
        <w:ind w:firstLine="1120" w:firstLineChars="350"/>
        <w:rPr>
          <w:rFonts w:ascii="仿宋" w:hAnsi="仿宋" w:eastAsia="仿宋"/>
          <w:color w:val="000000"/>
          <w:sz w:val="32"/>
          <w:szCs w:val="32"/>
        </w:rPr>
      </w:pPr>
      <w:r>
        <w:rPr>
          <w:rFonts w:hint="eastAsia" w:ascii="仿宋" w:hAnsi="仿宋" w:eastAsia="仿宋"/>
          <w:color w:val="000000"/>
          <w:sz w:val="32"/>
          <w:szCs w:val="32"/>
        </w:rPr>
        <w:t>教育支出（类）普通教育（款）小学教育（项）：指各部门举办的小学教育支出。政府各部门对社会中介组织等举办的小学的资助。</w:t>
      </w:r>
    </w:p>
    <w:p>
      <w:pPr>
        <w:ind w:firstLine="1120" w:firstLineChars="350"/>
        <w:rPr>
          <w:rFonts w:ascii="仿宋" w:hAnsi="仿宋" w:eastAsia="仿宋"/>
          <w:color w:val="000000"/>
          <w:sz w:val="32"/>
          <w:szCs w:val="32"/>
        </w:rPr>
      </w:pPr>
      <w:r>
        <w:rPr>
          <w:rFonts w:hint="eastAsia" w:ascii="仿宋" w:hAnsi="仿宋" w:eastAsia="仿宋"/>
          <w:color w:val="000000"/>
          <w:sz w:val="32"/>
          <w:szCs w:val="32"/>
        </w:rPr>
        <w:t>教育支出（类）普通教育（款）初中教育（项）：指各部门举办的初中教育支出。政府各部门对社会中介组织等举办的初中的资助。</w:t>
      </w:r>
    </w:p>
    <w:p>
      <w:pPr>
        <w:ind w:firstLine="1280" w:firstLineChars="400"/>
        <w:rPr>
          <w:rFonts w:ascii="仿宋" w:hAnsi="仿宋" w:eastAsia="仿宋"/>
          <w:color w:val="000000"/>
          <w:sz w:val="32"/>
          <w:szCs w:val="32"/>
        </w:rPr>
      </w:pPr>
      <w:r>
        <w:rPr>
          <w:rFonts w:hint="eastAsia" w:ascii="仿宋" w:hAnsi="仿宋" w:eastAsia="仿宋"/>
          <w:color w:val="000000"/>
          <w:sz w:val="32"/>
          <w:szCs w:val="32"/>
        </w:rPr>
        <w:t>教育支出（类）普通教育（款）其他普通教育支出（项）：指除上述项目以外其他用于普通教育方面的支出。</w:t>
      </w:r>
    </w:p>
    <w:p>
      <w:pPr>
        <w:ind w:firstLine="1280" w:firstLineChars="400"/>
        <w:rPr>
          <w:rFonts w:ascii="仿宋" w:hAnsi="仿宋" w:eastAsia="仿宋"/>
          <w:color w:val="000000"/>
          <w:sz w:val="32"/>
          <w:szCs w:val="32"/>
        </w:rPr>
      </w:pPr>
      <w:r>
        <w:rPr>
          <w:rFonts w:hint="eastAsia" w:ascii="仿宋" w:hAnsi="仿宋" w:eastAsia="仿宋"/>
          <w:color w:val="000000"/>
          <w:sz w:val="32"/>
          <w:szCs w:val="32"/>
        </w:rPr>
        <w:t>教育支出（类）教育附加安排支出（款）其他教育附加安排的支出（项）：指除上述项目以外的教育附加支出。</w:t>
      </w:r>
    </w:p>
    <w:p>
      <w:pPr>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、社会保障和就业（类）行政事业单位离退休（款）事业单位离退休支出（项）：指反映实际归口管理的事业单位开支的离退休经费。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社会保障和就业（类）行政事业单位离退休（款）机关事业单位职业年金缴费支出（项）：指机关事业单位实施养老保险制度由单位实际缴纳的职业年金支出。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社会保障和就业（类）行政事业单位离退休（款）其他行政事业单位离退休支出（项）：指其他用于行政事业单位离退休方面的支出。</w:t>
      </w:r>
    </w:p>
    <w:p>
      <w:pPr>
        <w:ind w:firstLine="960" w:firstLineChars="300"/>
        <w:rPr>
          <w:rFonts w:ascii="仿宋" w:hAnsi="仿宋" w:eastAsia="仿宋"/>
          <w:color w:val="000000"/>
          <w:sz w:val="32"/>
          <w:szCs w:val="32"/>
        </w:rPr>
      </w:pPr>
      <w:r>
        <w:rPr>
          <w:rFonts w:hint="eastAsia" w:ascii="仿宋" w:hAnsi="仿宋" w:eastAsia="仿宋"/>
          <w:color w:val="000000"/>
          <w:sz w:val="32"/>
          <w:szCs w:val="32"/>
        </w:rPr>
        <w:t>社会保障和就业（类）抚恤（款）死亡抚恤（项）：指按规定用于烈士和牺牲、病故人员家属的一次性和定期抚恤金以及丧葬补助费。</w:t>
      </w:r>
    </w:p>
    <w:p>
      <w:pPr>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医疗卫生与计划生育（类）行政事业单位医疗（款）事业单位医疗（项）：指财政部门集中安排的事业单位基本医疗保险缴费经费，未参加医疗保险的事业单位的公费医疗经费，按国家规定享受离休人员待遇的医疗经费。</w:t>
      </w:r>
    </w:p>
    <w:p>
      <w:pPr>
        <w:ind w:firstLine="640" w:firstLineChars="20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、农林水（类）扶贫（款）社会发展（项）：指用于农村贫困地区中小学教育、文化、广播、电视、医疗、卫生等方面的项目支出。</w:t>
      </w:r>
    </w:p>
    <w:p>
      <w:pPr>
        <w:ind w:firstLine="640" w:firstLineChars="20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ascii="仿宋" w:hAnsi="仿宋" w:eastAsia="仿宋"/>
          <w:color w:val="000000"/>
          <w:sz w:val="32"/>
          <w:szCs w:val="32"/>
        </w:rPr>
        <w:t>14</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ascii="仿宋" w:hAnsi="仿宋" w:eastAsia="仿宋"/>
          <w:color w:val="000000"/>
          <w:sz w:val="32"/>
          <w:szCs w:val="32"/>
        </w:rPr>
        <w:t>15</w:t>
      </w:r>
      <w:r>
        <w:rPr>
          <w:rFonts w:hint="eastAsia" w:ascii="仿宋" w:hAnsi="仿宋" w:eastAsia="仿宋"/>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hAnsi="仿宋"/>
          <w:sz w:val="32"/>
          <w:szCs w:val="32"/>
        </w:rPr>
      </w:pPr>
      <w:r>
        <w:rPr>
          <w:rFonts w:hAnsi="仿宋"/>
          <w:sz w:val="32"/>
          <w:szCs w:val="32"/>
        </w:rPr>
        <w:t>16</w:t>
      </w:r>
      <w:r>
        <w:rPr>
          <w:rFonts w:hint="eastAsia" w:hAnsi="仿宋"/>
          <w:sz w:val="32"/>
          <w:szCs w:val="32"/>
        </w:rPr>
        <w:t>、</w:t>
      </w:r>
      <w:r>
        <w:rPr>
          <w:rFonts w:hAnsi="仿宋"/>
          <w:sz w:val="32"/>
          <w:szCs w:val="32"/>
        </w:rPr>
        <w:t xml:space="preserve"> </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800" w:firstLineChars="250"/>
        <w:outlineLvl w:val="0"/>
        <w:rPr>
          <w:rStyle w:val="17"/>
          <w:rFonts w:ascii="黑体" w:hAnsi="黑体" w:eastAsia="黑体"/>
          <w:b w:val="0"/>
        </w:rPr>
      </w:pPr>
      <w:r>
        <w:rPr>
          <w:rFonts w:ascii="仿宋" w:hAnsi="仿宋" w:eastAsia="仿宋"/>
          <w:sz w:val="32"/>
          <w:szCs w:val="32"/>
        </w:rPr>
        <w:t>17</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b/>
          <w:color w:val="000000"/>
          <w:sz w:val="32"/>
          <w:szCs w:val="32"/>
        </w:rPr>
        <w:br w:type="page"/>
      </w:r>
      <w:bookmarkStart w:id="58"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8"/>
    </w:p>
    <w:p>
      <w:pPr>
        <w:spacing w:line="600" w:lineRule="exact"/>
        <w:jc w:val="center"/>
        <w:outlineLvl w:val="0"/>
        <w:rPr>
          <w:rStyle w:val="17"/>
        </w:rPr>
      </w:pPr>
    </w:p>
    <w:p>
      <w:pPr>
        <w:pStyle w:val="3"/>
        <w:rPr>
          <w:rStyle w:val="17"/>
          <w:rFonts w:ascii="仿宋" w:hAnsi="仿宋" w:eastAsia="仿宋"/>
          <w:b w:val="0"/>
          <w:bCs w:val="0"/>
          <w:sz w:val="32"/>
          <w:szCs w:val="32"/>
        </w:rPr>
      </w:pPr>
      <w:bookmarkStart w:id="59" w:name="_Toc15396615"/>
      <w:r>
        <w:rPr>
          <w:rStyle w:val="17"/>
          <w:rFonts w:hint="eastAsia" w:ascii="仿宋" w:hAnsi="仿宋" w:eastAsia="仿宋"/>
          <w:b w:val="0"/>
          <w:bCs w:val="0"/>
          <w:sz w:val="32"/>
          <w:szCs w:val="32"/>
        </w:rPr>
        <w:t>附件</w:t>
      </w:r>
      <w:r>
        <w:rPr>
          <w:rStyle w:val="17"/>
          <w:rFonts w:ascii="仿宋" w:hAnsi="仿宋" w:eastAsia="仿宋"/>
          <w:b w:val="0"/>
          <w:bCs w:val="0"/>
          <w:sz w:val="32"/>
          <w:szCs w:val="32"/>
        </w:rPr>
        <w:t>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遂宁市北固初级中学校</w:t>
      </w:r>
    </w:p>
    <w:p>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w:t>
      </w:r>
      <w:r>
        <w:rPr>
          <w:rFonts w:hint="eastAsia" w:ascii="黑体" w:hAnsi="黑体" w:eastAsia="黑体" w:cs="方正小标宋简体"/>
          <w:sz w:val="36"/>
          <w:szCs w:val="36"/>
        </w:rPr>
        <w:t>2</w:t>
      </w:r>
      <w:r>
        <w:rPr>
          <w:rFonts w:hint="eastAsia" w:ascii="黑体" w:hAnsi="黑体" w:eastAsia="黑体" w:cs="方正小标宋简体"/>
          <w:sz w:val="36"/>
          <w:szCs w:val="36"/>
          <w:lang w:val="en-US" w:eastAsia="zh-CN"/>
        </w:rPr>
        <w:t>3</w:t>
      </w:r>
      <w:r>
        <w:rPr>
          <w:rFonts w:hint="eastAsia" w:ascii="黑体" w:hAnsi="黑体" w:eastAsia="黑体" w:cs="方正小标宋简体"/>
          <w:sz w:val="36"/>
          <w:szCs w:val="36"/>
        </w:rPr>
        <w:t>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spacing w:line="58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（一）机构组成</w:t>
      </w:r>
    </w:p>
    <w:p>
      <w:pPr>
        <w:spacing w:line="580" w:lineRule="exact"/>
        <w:ind w:firstLine="640" w:firstLineChars="200"/>
        <w:rPr>
          <w:rFonts w:ascii="仿宋" w:hAnsi="仿宋" w:eastAsia="仿宋_GB2312" w:cs="仿宋_GB2312"/>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color w:val="000000"/>
          <w:sz w:val="30"/>
          <w:szCs w:val="30"/>
        </w:rPr>
        <w:t>设有办公室、教务处、德育处、总务处、及教科室等部门。</w:t>
      </w:r>
    </w:p>
    <w:p>
      <w:pPr>
        <w:numPr>
          <w:ilvl w:val="0"/>
          <w:numId w:val="5"/>
        </w:numPr>
        <w:spacing w:line="360"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机构职能</w:t>
      </w:r>
    </w:p>
    <w:p>
      <w:pPr>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我校财务管理实行校长负责制。学校的财务活动在校长的领导下，由学校财务部门统一管理。</w:t>
      </w:r>
      <w:r>
        <w:rPr>
          <w:rFonts w:hint="eastAsia" w:ascii="仿宋_GB2312" w:hAnsi="仿宋_GB2312" w:eastAsia="仿宋_GB2312" w:cs="仿宋_GB2312"/>
          <w:color w:val="000000"/>
          <w:sz w:val="30"/>
          <w:szCs w:val="30"/>
        </w:rPr>
        <w:t>学校校长党支部书记蒋厚文同志负责学校全面工作及党支部工作。副校长叶素华分管学校教育教育教学、教研等工作。副校长肖霞分管学校党建、安全等工作。副校长张玉蓉分管学校德育等日常管理工作。副校长廖光宗分管学校后勤、人事等日常管理工作。</w:t>
      </w:r>
      <w:r>
        <w:rPr>
          <w:rFonts w:hint="eastAsia" w:ascii="仿宋_GB2312" w:hAnsi="仿宋_GB2312" w:eastAsia="仿宋_GB2312" w:cs="仿宋_GB2312"/>
          <w:sz w:val="32"/>
          <w:szCs w:val="32"/>
        </w:rPr>
        <w:t>学校</w:t>
      </w:r>
      <w:r>
        <w:rPr>
          <w:rFonts w:hint="eastAsia" w:ascii="仿宋_GB2312" w:hAnsi="仿宋_GB2312" w:eastAsia="仿宋_GB2312" w:cs="仿宋_GB2312"/>
          <w:color w:val="000000"/>
          <w:sz w:val="30"/>
          <w:szCs w:val="30"/>
        </w:rPr>
        <w:t>设有办公室、教务处、德育处、总务处、及教科室等部门，由各部门中层干部牵头落实开展各项工作。</w:t>
      </w:r>
    </w:p>
    <w:p>
      <w:pPr>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财务室蒋艳负责会计工作，石伟负责出纳工作。</w:t>
      </w:r>
    </w:p>
    <w:p>
      <w:pPr>
        <w:widowControl/>
        <w:spacing w:line="560" w:lineRule="exact"/>
        <w:ind w:left="420" w:leftChars="200"/>
        <w:jc w:val="left"/>
        <w:rPr>
          <w:rFonts w:ascii="仿宋" w:hAnsi="仿宋" w:eastAsia="仿宋" w:cs="仿宋_GB2312"/>
          <w:b/>
          <w:bCs/>
          <w:sz w:val="32"/>
          <w:szCs w:val="32"/>
        </w:rPr>
      </w:pPr>
      <w:r>
        <w:rPr>
          <w:rFonts w:hint="eastAsia" w:ascii="仿宋" w:hAnsi="仿宋" w:eastAsia="仿宋" w:cs="仿宋_GB2312"/>
          <w:b/>
          <w:bCs/>
          <w:sz w:val="32"/>
          <w:szCs w:val="32"/>
        </w:rPr>
        <w:t>（三）人员概况</w:t>
      </w:r>
    </w:p>
    <w:p>
      <w:pPr>
        <w:spacing w:line="360" w:lineRule="auto"/>
        <w:ind w:firstLine="600" w:firstLineChars="200"/>
        <w:rPr>
          <w:rFonts w:hint="default" w:ascii="仿宋_GB2312" w:hAnsi="仿宋_GB2312" w:eastAsia="仿宋_GB2312" w:cs="仿宋_GB2312"/>
          <w:color w:val="000000"/>
          <w:sz w:val="30"/>
          <w:szCs w:val="30"/>
          <w:lang w:val="en-US"/>
        </w:rPr>
      </w:pPr>
      <w:r>
        <w:rPr>
          <w:rFonts w:hint="eastAsia" w:ascii="仿宋_GB2312" w:hAnsi="仿宋_GB2312" w:eastAsia="仿宋_GB2312" w:cs="仿宋_GB2312"/>
          <w:color w:val="000000"/>
          <w:sz w:val="30"/>
          <w:szCs w:val="30"/>
        </w:rPr>
        <w:t>我校是一所九年一贯制学校，设有初中部、小学部，共有学生23</w:t>
      </w:r>
      <w:r>
        <w:rPr>
          <w:rFonts w:hint="eastAsia" w:ascii="仿宋_GB2312" w:hAnsi="仿宋_GB2312" w:eastAsia="仿宋_GB2312" w:cs="仿宋_GB2312"/>
          <w:color w:val="000000"/>
          <w:sz w:val="30"/>
          <w:szCs w:val="30"/>
          <w:lang w:val="en-US" w:eastAsia="zh-CN"/>
        </w:rPr>
        <w:t>15</w:t>
      </w:r>
      <w:r>
        <w:rPr>
          <w:rFonts w:hint="eastAsia" w:ascii="仿宋_GB2312" w:hAnsi="仿宋_GB2312" w:eastAsia="仿宋_GB2312" w:cs="仿宋_GB2312"/>
          <w:color w:val="000000"/>
          <w:sz w:val="30"/>
          <w:szCs w:val="30"/>
        </w:rPr>
        <w:t>人。属全额拨款事业单位，现有财政补助人员12</w:t>
      </w:r>
      <w:r>
        <w:rPr>
          <w:rFonts w:hint="eastAsia" w:ascii="仿宋_GB2312" w:hAnsi="仿宋_GB2312" w:eastAsia="仿宋_GB2312" w:cs="仿宋_GB2312"/>
          <w:color w:val="000000"/>
          <w:sz w:val="30"/>
          <w:szCs w:val="30"/>
          <w:lang w:val="en-US" w:eastAsia="zh-CN"/>
        </w:rPr>
        <w:t>7</w:t>
      </w:r>
      <w:r>
        <w:rPr>
          <w:rFonts w:hint="eastAsia" w:ascii="仿宋_GB2312" w:hAnsi="仿宋_GB2312" w:eastAsia="仿宋_GB2312" w:cs="仿宋_GB2312"/>
          <w:color w:val="000000"/>
          <w:sz w:val="30"/>
          <w:szCs w:val="30"/>
        </w:rPr>
        <w:t>人，退休人员4</w:t>
      </w:r>
      <w:r>
        <w:rPr>
          <w:rFonts w:hint="eastAsia" w:ascii="仿宋_GB2312" w:hAnsi="仿宋_GB2312" w:eastAsia="仿宋_GB2312" w:cs="仿宋_GB2312"/>
          <w:color w:val="000000"/>
          <w:sz w:val="30"/>
          <w:szCs w:val="30"/>
          <w:lang w:val="en-US" w:eastAsia="zh-CN"/>
        </w:rPr>
        <w:t>6</w:t>
      </w:r>
      <w:r>
        <w:rPr>
          <w:rFonts w:hint="eastAsia" w:ascii="仿宋_GB2312" w:hAnsi="仿宋_GB2312" w:eastAsia="仿宋_GB2312" w:cs="仿宋_GB2312"/>
          <w:color w:val="000000"/>
          <w:sz w:val="30"/>
          <w:szCs w:val="30"/>
        </w:rPr>
        <w:t>人，遗属人员1人</w:t>
      </w:r>
      <w:r>
        <w:rPr>
          <w:rFonts w:hint="eastAsia" w:ascii="仿宋_GB2312" w:hAnsi="仿宋_GB2312" w:eastAsia="仿宋_GB2312" w:cs="仿宋_GB2312"/>
          <w:color w:val="000000"/>
          <w:sz w:val="30"/>
          <w:szCs w:val="30"/>
          <w:lang w:val="en-US" w:eastAsia="zh-CN"/>
        </w:rPr>
        <w:t>,安保人员5人.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600" w:lineRule="exact"/>
        <w:ind w:firstLine="643" w:firstLineChars="200"/>
        <w:outlineLvl w:val="1"/>
        <w:rPr>
          <w:rFonts w:ascii="仿宋" w:hAnsi="仿宋" w:eastAsia="仿宋" w:cs="仿宋_GB2312"/>
          <w:b/>
          <w:bCs/>
          <w:sz w:val="32"/>
          <w:szCs w:val="32"/>
        </w:rPr>
      </w:pPr>
      <w:r>
        <w:rPr>
          <w:rFonts w:hint="eastAsia" w:ascii="仿宋" w:hAnsi="仿宋" w:eastAsia="仿宋" w:cs="仿宋_GB2312"/>
          <w:b/>
          <w:bCs/>
          <w:sz w:val="32"/>
          <w:szCs w:val="32"/>
        </w:rPr>
        <w:t>（一）部门财政资金收入情况</w:t>
      </w:r>
    </w:p>
    <w:p>
      <w:pPr>
        <w:spacing w:line="600" w:lineRule="exact"/>
        <w:ind w:firstLine="640" w:firstLineChars="200"/>
        <w:outlineLvl w:val="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年财政资金收入合计</w:t>
      </w:r>
      <w:r>
        <w:rPr>
          <w:rFonts w:hint="eastAsia" w:ascii="仿宋_GB2312" w:hAnsi="仿宋_GB2312" w:eastAsia="仿宋_GB2312" w:cs="仿宋_GB2312"/>
          <w:color w:val="000000"/>
          <w:sz w:val="32"/>
          <w:szCs w:val="32"/>
          <w:lang w:val="en-US" w:eastAsia="zh-CN"/>
        </w:rPr>
        <w:t>2242.89</w:t>
      </w:r>
      <w:r>
        <w:rPr>
          <w:rFonts w:hint="eastAsia" w:ascii="仿宋_GB2312" w:hAnsi="仿宋_GB2312" w:eastAsia="仿宋_GB2312" w:cs="仿宋_GB2312"/>
          <w:color w:val="000000"/>
          <w:sz w:val="32"/>
          <w:szCs w:val="32"/>
        </w:rPr>
        <w:t>万元，其中：一般公共预算财政拨款收入2</w:t>
      </w:r>
      <w:r>
        <w:rPr>
          <w:rFonts w:hint="eastAsia" w:ascii="仿宋_GB2312" w:hAnsi="仿宋_GB2312" w:eastAsia="仿宋_GB2312" w:cs="仿宋_GB2312"/>
          <w:color w:val="000000"/>
          <w:sz w:val="32"/>
          <w:szCs w:val="32"/>
          <w:lang w:val="en-US" w:eastAsia="zh-CN"/>
        </w:rPr>
        <w:t>242.89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600" w:lineRule="exact"/>
        <w:ind w:firstLine="640"/>
        <w:rPr>
          <w:rFonts w:ascii="仿宋" w:hAnsi="仿宋" w:eastAsia="仿宋" w:cs="仿宋_GB2312"/>
          <w:b/>
          <w:bCs/>
          <w:sz w:val="32"/>
          <w:szCs w:val="32"/>
        </w:rPr>
      </w:pPr>
      <w:r>
        <w:rPr>
          <w:rFonts w:hint="eastAsia" w:ascii="仿宋" w:hAnsi="仿宋" w:eastAsia="仿宋" w:cs="仿宋_GB2312"/>
          <w:b/>
          <w:bCs/>
          <w:sz w:val="32"/>
          <w:szCs w:val="32"/>
        </w:rPr>
        <w:t>（二）部门财政资金支出情况</w:t>
      </w:r>
    </w:p>
    <w:p>
      <w:pPr>
        <w:spacing w:line="600" w:lineRule="exact"/>
        <w:ind w:firstLine="640"/>
        <w:rPr>
          <w:rFonts w:ascii="仿宋" w:hAnsi="仿宋" w:eastAsia="仿宋_GB2312" w:cs="仿宋_GB2312"/>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年财政支出合计</w:t>
      </w:r>
      <w:r>
        <w:rPr>
          <w:rFonts w:hint="eastAsia" w:ascii="仿宋_GB2312" w:hAnsi="仿宋_GB2312" w:eastAsia="仿宋_GB2312" w:cs="仿宋_GB2312"/>
          <w:color w:val="000000"/>
          <w:sz w:val="32"/>
          <w:szCs w:val="32"/>
          <w:lang w:val="en-US" w:eastAsia="zh-CN"/>
        </w:rPr>
        <w:t>2242.89</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2133.36</w:t>
      </w:r>
      <w:r>
        <w:rPr>
          <w:rFonts w:hint="eastAsia" w:ascii="仿宋_GB2312" w:hAnsi="仿宋_GB2312" w:eastAsia="仿宋_GB2312" w:cs="仿宋_GB2312"/>
          <w:color w:val="000000"/>
          <w:sz w:val="32"/>
          <w:szCs w:val="32"/>
        </w:rPr>
        <w:t>万元，占9</w:t>
      </w:r>
      <w:r>
        <w:rPr>
          <w:rFonts w:hint="eastAsia" w:ascii="仿宋_GB2312" w:hAnsi="仿宋_GB2312" w:eastAsia="仿宋_GB2312" w:cs="仿宋_GB2312"/>
          <w:color w:val="000000"/>
          <w:sz w:val="32"/>
          <w:szCs w:val="32"/>
          <w:lang w:val="en-US" w:eastAsia="zh-CN"/>
        </w:rPr>
        <w:t>5.12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109.53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4.88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360" w:lineRule="auto"/>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（一）部门预算管理</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校预算编制持量入为出、收支平衡、统筹兼顾、保证重点的原则，无赤字预算，学校各项收入全部纳入学校预算，统一核算，统一管理。严格执行国库集中支付制度，根据不同情况分别采取直接支付和授权支付方式，尽量减少支付环节，加强对预算执行的监督。各项费用严格按照预算规定的开支范围及标准列支。有关财务规章制度没有统一规定的，由学校结合本校情况，报主管部门和财政部门批准同意后再列支。</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对按规定需上缴国库或者财政专户的资金，学校都一一按照国库集中收缴的有关规定及时足额上缴财政，无隐瞒、无截留、无挪用和坐支的情况。</w:t>
      </w:r>
    </w:p>
    <w:p>
      <w:pPr>
        <w:spacing w:line="580" w:lineRule="exact"/>
        <w:ind w:firstLine="643" w:firstLineChars="200"/>
        <w:rPr>
          <w:rFonts w:ascii="仿宋" w:hAnsi="仿宋" w:eastAsia="仿宋" w:cs="仿宋_GB2312"/>
          <w:b/>
          <w:bCs/>
          <w:kern w:val="0"/>
          <w:sz w:val="32"/>
          <w:szCs w:val="32"/>
        </w:rPr>
      </w:pPr>
      <w:r>
        <w:rPr>
          <w:rFonts w:hint="eastAsia" w:ascii="仿宋" w:hAnsi="仿宋" w:eastAsia="仿宋" w:cs="仿宋_GB2312"/>
          <w:b/>
          <w:bCs/>
          <w:kern w:val="0"/>
          <w:sz w:val="32"/>
          <w:szCs w:val="32"/>
        </w:rPr>
        <w:t>（二）结果应用情况</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我校通过对202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年整体支出绩效自评，完成绩效目标公开和自评公开。项目支出保障广大师生的生命财产安全，维护学校正常教育教学秩序，改善学校办学条件，深受社会和家长好评。</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pStyle w:val="12"/>
        <w:widowControl/>
        <w:spacing w:beforeAutospacing="0" w:afterAutospacing="0" w:line="33" w:lineRule="atLeast"/>
        <w:ind w:firstLine="420"/>
        <w:jc w:val="both"/>
        <w:rPr>
          <w:rFonts w:ascii="仿宋" w:hAnsi="仿宋" w:eastAsia="仿宋" w:cs="仿宋_GB2312"/>
          <w:b/>
          <w:bCs/>
          <w:sz w:val="32"/>
          <w:szCs w:val="32"/>
        </w:rPr>
      </w:pPr>
      <w:r>
        <w:rPr>
          <w:rFonts w:hint="eastAsia" w:ascii="仿宋" w:hAnsi="仿宋" w:eastAsia="仿宋" w:cs="仿宋_GB2312"/>
          <w:b/>
          <w:bCs/>
          <w:sz w:val="32"/>
          <w:szCs w:val="32"/>
        </w:rPr>
        <w:t>（一）评价结论</w:t>
      </w:r>
    </w:p>
    <w:p>
      <w:pPr>
        <w:pStyle w:val="12"/>
        <w:widowControl/>
        <w:spacing w:beforeAutospacing="0" w:afterAutospacing="0" w:line="33" w:lineRule="atLeast"/>
        <w:ind w:firstLine="42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部门整体支出绩效情况：自评良。</w:t>
      </w:r>
    </w:p>
    <w:p>
      <w:pPr>
        <w:pStyle w:val="12"/>
        <w:widowControl/>
        <w:spacing w:beforeAutospacing="0" w:afterAutospacing="0" w:line="33" w:lineRule="atLeast"/>
        <w:ind w:left="420" w:leftChars="200"/>
        <w:jc w:val="both"/>
      </w:pPr>
      <w:r>
        <w:drawing>
          <wp:inline distT="0" distB="0" distL="114300" distR="114300">
            <wp:extent cx="5269865" cy="6050280"/>
            <wp:effectExtent l="0" t="0" r="6985" b="762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2"/>
                    <a:stretch>
                      <a:fillRect/>
                    </a:stretch>
                  </pic:blipFill>
                  <pic:spPr>
                    <a:xfrm>
                      <a:off x="0" y="0"/>
                      <a:ext cx="5269865" cy="6050280"/>
                    </a:xfrm>
                    <a:prstGeom prst="rect">
                      <a:avLst/>
                    </a:prstGeom>
                    <a:noFill/>
                    <a:ln>
                      <a:noFill/>
                    </a:ln>
                  </pic:spPr>
                </pic:pic>
              </a:graphicData>
            </a:graphic>
          </wp:inline>
        </w:drawing>
      </w:r>
    </w:p>
    <w:p>
      <w:pPr>
        <w:pStyle w:val="12"/>
        <w:widowControl/>
        <w:spacing w:beforeAutospacing="0" w:afterAutospacing="0" w:line="33" w:lineRule="atLeast"/>
        <w:ind w:left="420" w:leftChars="200"/>
        <w:jc w:val="both"/>
      </w:pPr>
    </w:p>
    <w:p>
      <w:pPr>
        <w:pStyle w:val="12"/>
        <w:widowControl/>
        <w:spacing w:beforeAutospacing="0" w:afterAutospacing="0" w:line="33" w:lineRule="atLeast"/>
        <w:ind w:left="420" w:leftChars="200"/>
        <w:jc w:val="both"/>
      </w:pPr>
      <w:r>
        <w:drawing>
          <wp:inline distT="0" distB="0" distL="114300" distR="114300">
            <wp:extent cx="5269865" cy="7365365"/>
            <wp:effectExtent l="0" t="0" r="6985" b="698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3"/>
                    <a:stretch>
                      <a:fillRect/>
                    </a:stretch>
                  </pic:blipFill>
                  <pic:spPr>
                    <a:xfrm>
                      <a:off x="0" y="0"/>
                      <a:ext cx="5269865" cy="7365365"/>
                    </a:xfrm>
                    <a:prstGeom prst="rect">
                      <a:avLst/>
                    </a:prstGeom>
                    <a:noFill/>
                    <a:ln>
                      <a:noFill/>
                    </a:ln>
                  </pic:spPr>
                </pic:pic>
              </a:graphicData>
            </a:graphic>
          </wp:inline>
        </w:drawing>
      </w: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r>
        <w:drawing>
          <wp:inline distT="0" distB="0" distL="114300" distR="114300">
            <wp:extent cx="5269865" cy="8130540"/>
            <wp:effectExtent l="0" t="0" r="6985" b="381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24"/>
                    <a:stretch>
                      <a:fillRect/>
                    </a:stretch>
                  </pic:blipFill>
                  <pic:spPr>
                    <a:xfrm>
                      <a:off x="0" y="0"/>
                      <a:ext cx="5269865" cy="8130540"/>
                    </a:xfrm>
                    <a:prstGeom prst="rect">
                      <a:avLst/>
                    </a:prstGeom>
                    <a:noFill/>
                    <a:ln>
                      <a:noFill/>
                    </a:ln>
                  </pic:spPr>
                </pic:pic>
              </a:graphicData>
            </a:graphic>
          </wp:inline>
        </w:drawing>
      </w: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r>
        <w:drawing>
          <wp:inline distT="0" distB="0" distL="114300" distR="114300">
            <wp:extent cx="5269865" cy="8130540"/>
            <wp:effectExtent l="0" t="0" r="6985" b="381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25"/>
                    <a:stretch>
                      <a:fillRect/>
                    </a:stretch>
                  </pic:blipFill>
                  <pic:spPr>
                    <a:xfrm>
                      <a:off x="0" y="0"/>
                      <a:ext cx="5269865" cy="8130540"/>
                    </a:xfrm>
                    <a:prstGeom prst="rect">
                      <a:avLst/>
                    </a:prstGeom>
                    <a:noFill/>
                    <a:ln>
                      <a:noFill/>
                    </a:ln>
                  </pic:spPr>
                </pic:pic>
              </a:graphicData>
            </a:graphic>
          </wp:inline>
        </w:drawing>
      </w:r>
    </w:p>
    <w:p>
      <w:pPr>
        <w:pStyle w:val="12"/>
        <w:widowControl/>
        <w:spacing w:beforeAutospacing="0" w:afterAutospacing="0" w:line="33" w:lineRule="atLeast"/>
        <w:ind w:left="420" w:leftChars="200"/>
        <w:jc w:val="both"/>
        <w:rPr>
          <w:rFonts w:hint="eastAsia" w:ascii="仿宋" w:hAnsi="仿宋" w:eastAsia="仿宋" w:cs="仿宋_GB2312"/>
          <w:b/>
          <w:bCs/>
          <w:sz w:val="32"/>
          <w:szCs w:val="32"/>
        </w:rPr>
      </w:pPr>
    </w:p>
    <w:p>
      <w:pPr>
        <w:pStyle w:val="12"/>
        <w:widowControl/>
        <w:spacing w:beforeAutospacing="0" w:afterAutospacing="0" w:line="33" w:lineRule="atLeast"/>
        <w:jc w:val="both"/>
        <w:rPr>
          <w:rFonts w:hint="eastAsia" w:ascii="仿宋" w:hAnsi="仿宋" w:eastAsia="仿宋" w:cs="仿宋_GB2312"/>
          <w:b/>
          <w:bCs/>
          <w:sz w:val="32"/>
          <w:szCs w:val="32"/>
        </w:rPr>
      </w:pPr>
      <w:r>
        <w:drawing>
          <wp:inline distT="0" distB="0" distL="114300" distR="114300">
            <wp:extent cx="5269865" cy="9025255"/>
            <wp:effectExtent l="0" t="0" r="6985" b="444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26"/>
                    <a:stretch>
                      <a:fillRect/>
                    </a:stretch>
                  </pic:blipFill>
                  <pic:spPr>
                    <a:xfrm>
                      <a:off x="0" y="0"/>
                      <a:ext cx="5269865" cy="9025255"/>
                    </a:xfrm>
                    <a:prstGeom prst="rect">
                      <a:avLst/>
                    </a:prstGeom>
                    <a:noFill/>
                    <a:ln>
                      <a:noFill/>
                    </a:ln>
                  </pic:spPr>
                </pic:pic>
              </a:graphicData>
            </a:graphic>
          </wp:inline>
        </w:drawing>
      </w:r>
    </w:p>
    <w:p>
      <w:pPr>
        <w:pStyle w:val="12"/>
        <w:widowControl/>
        <w:spacing w:beforeAutospacing="0" w:afterAutospacing="0" w:line="33" w:lineRule="atLeast"/>
        <w:jc w:val="both"/>
        <w:rPr>
          <w:rFonts w:hint="eastAsia" w:ascii="仿宋" w:hAnsi="仿宋" w:eastAsia="仿宋" w:cs="仿宋_GB2312"/>
          <w:b/>
          <w:bCs/>
          <w:sz w:val="32"/>
          <w:szCs w:val="32"/>
        </w:rPr>
      </w:pPr>
      <w:r>
        <w:drawing>
          <wp:inline distT="0" distB="0" distL="114300" distR="114300">
            <wp:extent cx="5269865" cy="8749665"/>
            <wp:effectExtent l="0" t="0" r="6985" b="13335"/>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27"/>
                    <a:stretch>
                      <a:fillRect/>
                    </a:stretch>
                  </pic:blipFill>
                  <pic:spPr>
                    <a:xfrm>
                      <a:off x="0" y="0"/>
                      <a:ext cx="5269865" cy="8749665"/>
                    </a:xfrm>
                    <a:prstGeom prst="rect">
                      <a:avLst/>
                    </a:prstGeom>
                    <a:noFill/>
                    <a:ln>
                      <a:noFill/>
                    </a:ln>
                  </pic:spPr>
                </pic:pic>
              </a:graphicData>
            </a:graphic>
          </wp:inline>
        </w:drawing>
      </w:r>
    </w:p>
    <w:p>
      <w:pPr>
        <w:pStyle w:val="12"/>
        <w:widowControl/>
        <w:spacing w:beforeAutospacing="0" w:afterAutospacing="0" w:line="33" w:lineRule="atLeast"/>
        <w:jc w:val="both"/>
        <w:rPr>
          <w:rFonts w:hint="eastAsia" w:ascii="仿宋" w:hAnsi="仿宋" w:eastAsia="仿宋" w:cs="仿宋_GB2312"/>
          <w:b/>
          <w:bCs/>
          <w:sz w:val="32"/>
          <w:szCs w:val="32"/>
        </w:rPr>
      </w:pPr>
      <w:r>
        <w:drawing>
          <wp:inline distT="0" distB="0" distL="114300" distR="114300">
            <wp:extent cx="5269865" cy="8681085"/>
            <wp:effectExtent l="0" t="0" r="6985" b="5715"/>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8"/>
                    <a:stretch>
                      <a:fillRect/>
                    </a:stretch>
                  </pic:blipFill>
                  <pic:spPr>
                    <a:xfrm>
                      <a:off x="0" y="0"/>
                      <a:ext cx="5269865" cy="8681085"/>
                    </a:xfrm>
                    <a:prstGeom prst="rect">
                      <a:avLst/>
                    </a:prstGeom>
                    <a:noFill/>
                    <a:ln>
                      <a:noFill/>
                    </a:ln>
                  </pic:spPr>
                </pic:pic>
              </a:graphicData>
            </a:graphic>
          </wp:inline>
        </w:drawing>
      </w:r>
    </w:p>
    <w:p>
      <w:pPr>
        <w:pStyle w:val="12"/>
        <w:widowControl/>
        <w:spacing w:beforeAutospacing="0" w:afterAutospacing="0" w:line="33" w:lineRule="atLeast"/>
        <w:ind w:left="420" w:leftChars="200"/>
        <w:jc w:val="both"/>
        <w:rPr>
          <w:rFonts w:ascii="仿宋" w:hAnsi="仿宋" w:eastAsia="仿宋" w:cs="仿宋_GB2312"/>
          <w:b/>
          <w:bCs/>
          <w:sz w:val="32"/>
          <w:szCs w:val="32"/>
        </w:rPr>
      </w:pPr>
      <w:r>
        <w:rPr>
          <w:rFonts w:hint="eastAsia" w:ascii="仿宋" w:hAnsi="仿宋" w:eastAsia="仿宋" w:cs="仿宋_GB2312"/>
          <w:b/>
          <w:bCs/>
          <w:sz w:val="32"/>
          <w:szCs w:val="32"/>
        </w:rPr>
        <w:t>（二）存在问题</w:t>
      </w:r>
    </w:p>
    <w:p>
      <w:pPr>
        <w:pStyle w:val="12"/>
        <w:widowControl/>
        <w:spacing w:beforeAutospacing="0" w:afterAutospacing="0" w:line="33" w:lineRule="atLeas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我校地处城乡结合部，地域范围较宽，近年学校生源增长较快，教师专业结构需进一步优化，生均公用经费不足，无法满足学校快速发展的需要。</w:t>
      </w:r>
    </w:p>
    <w:p>
      <w:pPr>
        <w:pStyle w:val="12"/>
        <w:widowControl/>
        <w:numPr>
          <w:ilvl w:val="0"/>
          <w:numId w:val="5"/>
        </w:numPr>
        <w:spacing w:beforeAutospacing="0" w:afterAutospacing="0" w:line="33" w:lineRule="atLeast"/>
        <w:ind w:firstLine="643" w:firstLineChars="200"/>
        <w:jc w:val="both"/>
        <w:rPr>
          <w:rFonts w:ascii="仿宋" w:hAnsi="仿宋" w:eastAsia="仿宋" w:cs="仿宋_GB2312"/>
          <w:b/>
          <w:bCs/>
          <w:sz w:val="32"/>
          <w:szCs w:val="32"/>
        </w:rPr>
      </w:pPr>
      <w:r>
        <w:rPr>
          <w:rFonts w:hint="eastAsia" w:ascii="仿宋" w:hAnsi="仿宋" w:eastAsia="仿宋" w:cs="仿宋_GB2312"/>
          <w:b/>
          <w:bCs/>
          <w:sz w:val="32"/>
          <w:szCs w:val="32"/>
        </w:rPr>
        <w:t>改进建议</w:t>
      </w:r>
    </w:p>
    <w:p>
      <w:pPr>
        <w:pStyle w:val="12"/>
        <w:widowControl/>
        <w:spacing w:beforeAutospacing="0" w:afterAutospacing="0" w:line="33" w:lineRule="atLeas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切实做好学校预算编制工作，做好本单位情况调查，仔细测算部门资金需求，努力使预算资金合理。及时支出资金，减少部门资金结转。进一步建立健全学校财务制度，规范财务管理，规范教育教学行为；提高教育教学质量，加强校园文化建设，加强学校廉政建设。</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黑体" w:hAnsi="黑体" w:eastAsia="黑体"/>
          <w:color w:val="000000"/>
          <w:sz w:val="44"/>
          <w:szCs w:val="44"/>
        </w:rPr>
      </w:pPr>
      <w:bookmarkStart w:id="61"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ind w:firstLine="2640" w:firstLineChars="600"/>
        <w:jc w:val="both"/>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7"/>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18"/>
          <w:rFonts w:hint="eastAsia" w:ascii="仿宋" w:hAnsi="仿宋" w:eastAsia="仿宋"/>
          <w:b w:val="0"/>
          <w:bCs w:val="0"/>
        </w:rPr>
        <w:t>入</w:t>
      </w:r>
      <w:bookmarkEnd w:id="63"/>
      <w:r>
        <w:rPr>
          <w:rStyle w:val="18"/>
          <w:rFonts w:hint="eastAsia" w:ascii="仿宋" w:hAnsi="仿宋" w:eastAsia="仿宋"/>
          <w:b w:val="0"/>
          <w:bCs w:val="0"/>
        </w:rPr>
        <w:t>决算表</w:t>
      </w:r>
    </w:p>
    <w:p>
      <w:pPr>
        <w:pStyle w:val="3"/>
        <w:rPr>
          <w:rFonts w:ascii="仿宋" w:hAnsi="仿宋" w:eastAsia="仿宋"/>
          <w:color w:val="000000"/>
        </w:rPr>
      </w:pPr>
      <w:bookmarkStart w:id="64"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w:t>
      </w:r>
      <w:bookmarkEnd w:id="64"/>
      <w:r>
        <w:rPr>
          <w:rStyle w:val="18"/>
          <w:rFonts w:hint="eastAsia" w:ascii="仿宋" w:hAnsi="仿宋" w:eastAsia="仿宋"/>
          <w:b w:val="0"/>
          <w:bCs w:val="0"/>
        </w:rPr>
        <w:t>决算表</w:t>
      </w:r>
    </w:p>
    <w:p>
      <w:pPr>
        <w:pStyle w:val="3"/>
        <w:rPr>
          <w:rFonts w:ascii="仿宋" w:hAnsi="仿宋" w:eastAsia="仿宋"/>
          <w:b w:val="0"/>
          <w:color w:val="000000"/>
        </w:rPr>
      </w:pPr>
      <w:bookmarkStart w:id="65"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5"/>
    </w:p>
    <w:p>
      <w:pPr>
        <w:pStyle w:val="3"/>
        <w:rPr>
          <w:rStyle w:val="18"/>
          <w:rFonts w:ascii="仿宋" w:hAnsi="仿宋" w:eastAsia="仿宋"/>
          <w:b w:val="0"/>
          <w:bCs w:val="0"/>
        </w:rPr>
      </w:pPr>
      <w:bookmarkStart w:id="66"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w:t>
      </w:r>
      <w:bookmarkEnd w:id="66"/>
      <w:bookmarkStart w:id="67" w:name="_Toc15396624"/>
    </w:p>
    <w:p>
      <w:pPr>
        <w:pStyle w:val="3"/>
        <w:rPr>
          <w:rFonts w:ascii="仿宋" w:hAnsi="仿宋" w:eastAsia="仿宋"/>
          <w:color w:val="000000"/>
        </w:rPr>
      </w:pPr>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9"/>
    </w:p>
    <w:p>
      <w:pPr>
        <w:pStyle w:val="3"/>
        <w:rPr>
          <w:rStyle w:val="18"/>
          <w:rFonts w:ascii="仿宋" w:hAnsi="仿宋" w:eastAsia="仿宋"/>
          <w:b w:val="0"/>
          <w:bCs w:val="0"/>
        </w:rPr>
      </w:pPr>
      <w:bookmarkStart w:id="70"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70"/>
      <w:bookmarkStart w:id="71" w:name="_Toc15396628"/>
    </w:p>
    <w:p>
      <w:pPr>
        <w:pStyle w:val="3"/>
        <w:rPr>
          <w:rFonts w:ascii="仿宋" w:hAnsi="仿宋" w:eastAsia="仿宋"/>
          <w:color w:val="000000"/>
        </w:rPr>
      </w:pPr>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rPr>
      </w:pPr>
      <w:bookmarkStart w:id="74"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74"/>
    </w:p>
    <w:p>
      <w:pPr>
        <w:pStyle w:val="3"/>
        <w:rPr>
          <w:rFonts w:ascii="仿宋" w:hAnsi="仿宋" w:eastAsia="仿宋"/>
          <w:color w:val="00000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6</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96AFD"/>
    <w:multiLevelType w:val="singleLevel"/>
    <w:tmpl w:val="B6396AFD"/>
    <w:lvl w:ilvl="0" w:tentative="0">
      <w:start w:val="4"/>
      <w:numFmt w:val="decimal"/>
      <w:lvlText w:val="%1."/>
      <w:lvlJc w:val="left"/>
      <w:pPr>
        <w:tabs>
          <w:tab w:val="left" w:pos="312"/>
        </w:tabs>
      </w:pPr>
      <w:rPr>
        <w:rFonts w:hint="default"/>
        <w:b/>
        <w:bCs/>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F4B7596C"/>
    <w:multiLevelType w:val="singleLevel"/>
    <w:tmpl w:val="F4B7596C"/>
    <w:lvl w:ilvl="0" w:tentative="0">
      <w:start w:val="2"/>
      <w:numFmt w:val="chineseCounting"/>
      <w:suff w:val="nothing"/>
      <w:lvlText w:val="（%1）"/>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TJmYTJhZTJjZjA4NzI5NjgyMjY3YjY2Yzg1YjEifQ=="/>
  </w:docVars>
  <w:rsids>
    <w:rsidRoot w:val="00F1361C"/>
    <w:rsid w:val="000034A4"/>
    <w:rsid w:val="00020860"/>
    <w:rsid w:val="000222C6"/>
    <w:rsid w:val="000253B4"/>
    <w:rsid w:val="0002549F"/>
    <w:rsid w:val="00027734"/>
    <w:rsid w:val="00027922"/>
    <w:rsid w:val="00037EE0"/>
    <w:rsid w:val="00043543"/>
    <w:rsid w:val="00045F01"/>
    <w:rsid w:val="00061971"/>
    <w:rsid w:val="00063BEC"/>
    <w:rsid w:val="0006487A"/>
    <w:rsid w:val="00065F8F"/>
    <w:rsid w:val="0007093E"/>
    <w:rsid w:val="00075B55"/>
    <w:rsid w:val="000768F2"/>
    <w:rsid w:val="00077154"/>
    <w:rsid w:val="000874F7"/>
    <w:rsid w:val="0009184B"/>
    <w:rsid w:val="0009593C"/>
    <w:rsid w:val="000B047F"/>
    <w:rsid w:val="000B2573"/>
    <w:rsid w:val="000B3DE5"/>
    <w:rsid w:val="000B5923"/>
    <w:rsid w:val="000B5A48"/>
    <w:rsid w:val="000B6FF3"/>
    <w:rsid w:val="000C2117"/>
    <w:rsid w:val="000C3467"/>
    <w:rsid w:val="000C3CA6"/>
    <w:rsid w:val="000D1267"/>
    <w:rsid w:val="000D1D50"/>
    <w:rsid w:val="000D5782"/>
    <w:rsid w:val="000E1523"/>
    <w:rsid w:val="000E6613"/>
    <w:rsid w:val="000E7119"/>
    <w:rsid w:val="000F03C7"/>
    <w:rsid w:val="000F0616"/>
    <w:rsid w:val="000F6907"/>
    <w:rsid w:val="001004C4"/>
    <w:rsid w:val="0010204C"/>
    <w:rsid w:val="00107AE4"/>
    <w:rsid w:val="00114E9B"/>
    <w:rsid w:val="0011705B"/>
    <w:rsid w:val="0014729F"/>
    <w:rsid w:val="00150160"/>
    <w:rsid w:val="00154C96"/>
    <w:rsid w:val="00157BAB"/>
    <w:rsid w:val="001654D1"/>
    <w:rsid w:val="0018106D"/>
    <w:rsid w:val="001853A2"/>
    <w:rsid w:val="001877A7"/>
    <w:rsid w:val="00191536"/>
    <w:rsid w:val="00193277"/>
    <w:rsid w:val="00196687"/>
    <w:rsid w:val="001A331E"/>
    <w:rsid w:val="001A4475"/>
    <w:rsid w:val="001B3EFE"/>
    <w:rsid w:val="001B5EE1"/>
    <w:rsid w:val="001C0962"/>
    <w:rsid w:val="001C30F8"/>
    <w:rsid w:val="001D7531"/>
    <w:rsid w:val="001E737D"/>
    <w:rsid w:val="001F0592"/>
    <w:rsid w:val="001F7436"/>
    <w:rsid w:val="001F7506"/>
    <w:rsid w:val="00200430"/>
    <w:rsid w:val="002006CD"/>
    <w:rsid w:val="00202B36"/>
    <w:rsid w:val="00204B7A"/>
    <w:rsid w:val="0021011A"/>
    <w:rsid w:val="0021101A"/>
    <w:rsid w:val="00220536"/>
    <w:rsid w:val="002239A2"/>
    <w:rsid w:val="00235629"/>
    <w:rsid w:val="0023695E"/>
    <w:rsid w:val="00245292"/>
    <w:rsid w:val="00245D25"/>
    <w:rsid w:val="00260C38"/>
    <w:rsid w:val="002616C0"/>
    <w:rsid w:val="00261EEB"/>
    <w:rsid w:val="002662AA"/>
    <w:rsid w:val="0027305D"/>
    <w:rsid w:val="00273238"/>
    <w:rsid w:val="002766E5"/>
    <w:rsid w:val="00280496"/>
    <w:rsid w:val="00295495"/>
    <w:rsid w:val="002A0165"/>
    <w:rsid w:val="002A5F94"/>
    <w:rsid w:val="002B2613"/>
    <w:rsid w:val="002D157A"/>
    <w:rsid w:val="002F1818"/>
    <w:rsid w:val="002F567B"/>
    <w:rsid w:val="00302A30"/>
    <w:rsid w:val="003173BF"/>
    <w:rsid w:val="003216A9"/>
    <w:rsid w:val="003546B4"/>
    <w:rsid w:val="00362AB3"/>
    <w:rsid w:val="0036766F"/>
    <w:rsid w:val="0037013F"/>
    <w:rsid w:val="00376C05"/>
    <w:rsid w:val="0037766D"/>
    <w:rsid w:val="00380C92"/>
    <w:rsid w:val="003861D2"/>
    <w:rsid w:val="003A4232"/>
    <w:rsid w:val="003A484F"/>
    <w:rsid w:val="003A7BAB"/>
    <w:rsid w:val="003B0BE0"/>
    <w:rsid w:val="003B0C1B"/>
    <w:rsid w:val="003B688C"/>
    <w:rsid w:val="003C0291"/>
    <w:rsid w:val="003C0DA4"/>
    <w:rsid w:val="003C39AE"/>
    <w:rsid w:val="003C47AF"/>
    <w:rsid w:val="003C73B2"/>
    <w:rsid w:val="003C7B60"/>
    <w:rsid w:val="003D1FB2"/>
    <w:rsid w:val="003D66DA"/>
    <w:rsid w:val="003D785D"/>
    <w:rsid w:val="003E0B10"/>
    <w:rsid w:val="003E1310"/>
    <w:rsid w:val="003E6F55"/>
    <w:rsid w:val="003E7899"/>
    <w:rsid w:val="003F2542"/>
    <w:rsid w:val="00406254"/>
    <w:rsid w:val="004223DE"/>
    <w:rsid w:val="00434489"/>
    <w:rsid w:val="00437085"/>
    <w:rsid w:val="00443880"/>
    <w:rsid w:val="004464F4"/>
    <w:rsid w:val="00447425"/>
    <w:rsid w:val="0047011F"/>
    <w:rsid w:val="00471401"/>
    <w:rsid w:val="00473F31"/>
    <w:rsid w:val="0047409F"/>
    <w:rsid w:val="00476074"/>
    <w:rsid w:val="0048263A"/>
    <w:rsid w:val="00483646"/>
    <w:rsid w:val="00487E5D"/>
    <w:rsid w:val="00496A24"/>
    <w:rsid w:val="004A333F"/>
    <w:rsid w:val="004A711F"/>
    <w:rsid w:val="004B199D"/>
    <w:rsid w:val="004B4690"/>
    <w:rsid w:val="004C1346"/>
    <w:rsid w:val="004D589D"/>
    <w:rsid w:val="004E0A2D"/>
    <w:rsid w:val="004E14A1"/>
    <w:rsid w:val="004E206B"/>
    <w:rsid w:val="004E6DF7"/>
    <w:rsid w:val="004F0FBD"/>
    <w:rsid w:val="004F3DED"/>
    <w:rsid w:val="004F6DBE"/>
    <w:rsid w:val="004F7BD8"/>
    <w:rsid w:val="00505A47"/>
    <w:rsid w:val="00512FDA"/>
    <w:rsid w:val="00520AA3"/>
    <w:rsid w:val="00520BFB"/>
    <w:rsid w:val="00520DA0"/>
    <w:rsid w:val="0054362A"/>
    <w:rsid w:val="005664BB"/>
    <w:rsid w:val="0057481D"/>
    <w:rsid w:val="00576F51"/>
    <w:rsid w:val="00581A8B"/>
    <w:rsid w:val="0058486E"/>
    <w:rsid w:val="0059671B"/>
    <w:rsid w:val="005B5F67"/>
    <w:rsid w:val="005D1C8B"/>
    <w:rsid w:val="005D5CED"/>
    <w:rsid w:val="005F1A4C"/>
    <w:rsid w:val="00600F73"/>
    <w:rsid w:val="00602238"/>
    <w:rsid w:val="00604997"/>
    <w:rsid w:val="00605688"/>
    <w:rsid w:val="006070AF"/>
    <w:rsid w:val="00607E6C"/>
    <w:rsid w:val="006101B1"/>
    <w:rsid w:val="00610790"/>
    <w:rsid w:val="00614E44"/>
    <w:rsid w:val="006222F0"/>
    <w:rsid w:val="00622830"/>
    <w:rsid w:val="00630AEF"/>
    <w:rsid w:val="006325F8"/>
    <w:rsid w:val="00634C9A"/>
    <w:rsid w:val="00634DBA"/>
    <w:rsid w:val="006440E4"/>
    <w:rsid w:val="0065383B"/>
    <w:rsid w:val="006548CF"/>
    <w:rsid w:val="00655B52"/>
    <w:rsid w:val="006621D3"/>
    <w:rsid w:val="0066343B"/>
    <w:rsid w:val="00664777"/>
    <w:rsid w:val="006748A4"/>
    <w:rsid w:val="0067617C"/>
    <w:rsid w:val="00683E73"/>
    <w:rsid w:val="006849E4"/>
    <w:rsid w:val="006A3141"/>
    <w:rsid w:val="006A5E34"/>
    <w:rsid w:val="006B0394"/>
    <w:rsid w:val="006B2422"/>
    <w:rsid w:val="006B2B9A"/>
    <w:rsid w:val="006B2DD1"/>
    <w:rsid w:val="006C1937"/>
    <w:rsid w:val="006D183C"/>
    <w:rsid w:val="006E60B9"/>
    <w:rsid w:val="006F020C"/>
    <w:rsid w:val="006F0299"/>
    <w:rsid w:val="007127B7"/>
    <w:rsid w:val="007173F6"/>
    <w:rsid w:val="007337B4"/>
    <w:rsid w:val="00734D7C"/>
    <w:rsid w:val="00741211"/>
    <w:rsid w:val="007416B6"/>
    <w:rsid w:val="00744506"/>
    <w:rsid w:val="00746F48"/>
    <w:rsid w:val="0075404D"/>
    <w:rsid w:val="0075571D"/>
    <w:rsid w:val="0076182A"/>
    <w:rsid w:val="00767B7E"/>
    <w:rsid w:val="007770C3"/>
    <w:rsid w:val="007849CF"/>
    <w:rsid w:val="00784D24"/>
    <w:rsid w:val="00785397"/>
    <w:rsid w:val="00785FBA"/>
    <w:rsid w:val="00786E4A"/>
    <w:rsid w:val="007875EB"/>
    <w:rsid w:val="007938CB"/>
    <w:rsid w:val="0079426B"/>
    <w:rsid w:val="007A66E9"/>
    <w:rsid w:val="007B34A6"/>
    <w:rsid w:val="007D312A"/>
    <w:rsid w:val="007D3F19"/>
    <w:rsid w:val="007E23B0"/>
    <w:rsid w:val="007F1991"/>
    <w:rsid w:val="007F2C2F"/>
    <w:rsid w:val="007F55FC"/>
    <w:rsid w:val="007F5665"/>
    <w:rsid w:val="00800112"/>
    <w:rsid w:val="00820417"/>
    <w:rsid w:val="00822977"/>
    <w:rsid w:val="00824FFF"/>
    <w:rsid w:val="008253BB"/>
    <w:rsid w:val="00835894"/>
    <w:rsid w:val="0083706E"/>
    <w:rsid w:val="008423A5"/>
    <w:rsid w:val="00844E7A"/>
    <w:rsid w:val="00850625"/>
    <w:rsid w:val="00853718"/>
    <w:rsid w:val="00855221"/>
    <w:rsid w:val="00857D99"/>
    <w:rsid w:val="00860645"/>
    <w:rsid w:val="00861D2C"/>
    <w:rsid w:val="00871F71"/>
    <w:rsid w:val="0087652A"/>
    <w:rsid w:val="008813A4"/>
    <w:rsid w:val="00885AF4"/>
    <w:rsid w:val="00887AB6"/>
    <w:rsid w:val="008939CD"/>
    <w:rsid w:val="008A0FE1"/>
    <w:rsid w:val="008A0FEC"/>
    <w:rsid w:val="008B5F80"/>
    <w:rsid w:val="008B768C"/>
    <w:rsid w:val="008C3839"/>
    <w:rsid w:val="008C4DB1"/>
    <w:rsid w:val="008C4EAF"/>
    <w:rsid w:val="008C5176"/>
    <w:rsid w:val="008C7FD0"/>
    <w:rsid w:val="008D0CB3"/>
    <w:rsid w:val="008D52CF"/>
    <w:rsid w:val="008E09EE"/>
    <w:rsid w:val="008E1DE7"/>
    <w:rsid w:val="008E707C"/>
    <w:rsid w:val="00900B08"/>
    <w:rsid w:val="00902155"/>
    <w:rsid w:val="00902FA3"/>
    <w:rsid w:val="00904334"/>
    <w:rsid w:val="00912CD4"/>
    <w:rsid w:val="00923564"/>
    <w:rsid w:val="0092392E"/>
    <w:rsid w:val="00923A85"/>
    <w:rsid w:val="00926A25"/>
    <w:rsid w:val="009315F9"/>
    <w:rsid w:val="00931B9A"/>
    <w:rsid w:val="009407F7"/>
    <w:rsid w:val="00946945"/>
    <w:rsid w:val="00950749"/>
    <w:rsid w:val="00951248"/>
    <w:rsid w:val="0095152F"/>
    <w:rsid w:val="00954C49"/>
    <w:rsid w:val="009616E0"/>
    <w:rsid w:val="00962CDC"/>
    <w:rsid w:val="0097099F"/>
    <w:rsid w:val="00971997"/>
    <w:rsid w:val="00971FFC"/>
    <w:rsid w:val="00981A05"/>
    <w:rsid w:val="0098660A"/>
    <w:rsid w:val="00987613"/>
    <w:rsid w:val="009931C3"/>
    <w:rsid w:val="009A1658"/>
    <w:rsid w:val="009A25CF"/>
    <w:rsid w:val="009A5631"/>
    <w:rsid w:val="009B2C43"/>
    <w:rsid w:val="009B4EAE"/>
    <w:rsid w:val="009B7573"/>
    <w:rsid w:val="009C22F4"/>
    <w:rsid w:val="009C2E98"/>
    <w:rsid w:val="009C6683"/>
    <w:rsid w:val="009D3447"/>
    <w:rsid w:val="009D4711"/>
    <w:rsid w:val="009E4C9B"/>
    <w:rsid w:val="009F1185"/>
    <w:rsid w:val="009F18CD"/>
    <w:rsid w:val="009F2A13"/>
    <w:rsid w:val="00A02CCB"/>
    <w:rsid w:val="00A04EB0"/>
    <w:rsid w:val="00A0723D"/>
    <w:rsid w:val="00A13CC1"/>
    <w:rsid w:val="00A16847"/>
    <w:rsid w:val="00A237D8"/>
    <w:rsid w:val="00A268C4"/>
    <w:rsid w:val="00A307CD"/>
    <w:rsid w:val="00A40A00"/>
    <w:rsid w:val="00A4142F"/>
    <w:rsid w:val="00A4601F"/>
    <w:rsid w:val="00A5100A"/>
    <w:rsid w:val="00A55E17"/>
    <w:rsid w:val="00A56DF2"/>
    <w:rsid w:val="00A67046"/>
    <w:rsid w:val="00A67AB5"/>
    <w:rsid w:val="00A91760"/>
    <w:rsid w:val="00A92BE5"/>
    <w:rsid w:val="00A93B00"/>
    <w:rsid w:val="00A93C21"/>
    <w:rsid w:val="00AA0767"/>
    <w:rsid w:val="00AC3A9E"/>
    <w:rsid w:val="00AC3C6A"/>
    <w:rsid w:val="00AD5620"/>
    <w:rsid w:val="00AD5E14"/>
    <w:rsid w:val="00AD7C1B"/>
    <w:rsid w:val="00AE16BA"/>
    <w:rsid w:val="00AE1EBE"/>
    <w:rsid w:val="00AE41A1"/>
    <w:rsid w:val="00AF58FF"/>
    <w:rsid w:val="00AF6BE6"/>
    <w:rsid w:val="00B03C9D"/>
    <w:rsid w:val="00B05997"/>
    <w:rsid w:val="00B060AE"/>
    <w:rsid w:val="00B07001"/>
    <w:rsid w:val="00B10517"/>
    <w:rsid w:val="00B14E76"/>
    <w:rsid w:val="00B161B8"/>
    <w:rsid w:val="00B2048C"/>
    <w:rsid w:val="00B310B9"/>
    <w:rsid w:val="00B35F3F"/>
    <w:rsid w:val="00B36CBB"/>
    <w:rsid w:val="00B40546"/>
    <w:rsid w:val="00B411EF"/>
    <w:rsid w:val="00B425E0"/>
    <w:rsid w:val="00B440AA"/>
    <w:rsid w:val="00B44B70"/>
    <w:rsid w:val="00B44F9C"/>
    <w:rsid w:val="00B53C56"/>
    <w:rsid w:val="00B755C3"/>
    <w:rsid w:val="00B77EA6"/>
    <w:rsid w:val="00B81598"/>
    <w:rsid w:val="00B841F1"/>
    <w:rsid w:val="00B944D6"/>
    <w:rsid w:val="00BB15AF"/>
    <w:rsid w:val="00BB4DF0"/>
    <w:rsid w:val="00BC289F"/>
    <w:rsid w:val="00BC5361"/>
    <w:rsid w:val="00BC5460"/>
    <w:rsid w:val="00BC6B50"/>
    <w:rsid w:val="00BD0E25"/>
    <w:rsid w:val="00BD793A"/>
    <w:rsid w:val="00BE56B5"/>
    <w:rsid w:val="00BF27EB"/>
    <w:rsid w:val="00BF5BD6"/>
    <w:rsid w:val="00BF77C3"/>
    <w:rsid w:val="00BF7AD9"/>
    <w:rsid w:val="00C03E31"/>
    <w:rsid w:val="00C06559"/>
    <w:rsid w:val="00C33E72"/>
    <w:rsid w:val="00C354B2"/>
    <w:rsid w:val="00C35554"/>
    <w:rsid w:val="00C35599"/>
    <w:rsid w:val="00C357B0"/>
    <w:rsid w:val="00C42709"/>
    <w:rsid w:val="00C533CC"/>
    <w:rsid w:val="00C5751C"/>
    <w:rsid w:val="00C60F1E"/>
    <w:rsid w:val="00C61BFC"/>
    <w:rsid w:val="00C62B85"/>
    <w:rsid w:val="00C65438"/>
    <w:rsid w:val="00C91CBB"/>
    <w:rsid w:val="00C93ADA"/>
    <w:rsid w:val="00CA783F"/>
    <w:rsid w:val="00CA7F1E"/>
    <w:rsid w:val="00CC09B6"/>
    <w:rsid w:val="00CC666F"/>
    <w:rsid w:val="00CD1E3F"/>
    <w:rsid w:val="00CD764A"/>
    <w:rsid w:val="00CE44F6"/>
    <w:rsid w:val="00CE49DA"/>
    <w:rsid w:val="00CE7B61"/>
    <w:rsid w:val="00CF3A03"/>
    <w:rsid w:val="00D00095"/>
    <w:rsid w:val="00D13827"/>
    <w:rsid w:val="00D20620"/>
    <w:rsid w:val="00D21E68"/>
    <w:rsid w:val="00D26091"/>
    <w:rsid w:val="00D3184D"/>
    <w:rsid w:val="00D34E7C"/>
    <w:rsid w:val="00D35489"/>
    <w:rsid w:val="00D51276"/>
    <w:rsid w:val="00D542C2"/>
    <w:rsid w:val="00D610D8"/>
    <w:rsid w:val="00D7035F"/>
    <w:rsid w:val="00D80E04"/>
    <w:rsid w:val="00DA65AC"/>
    <w:rsid w:val="00DB1913"/>
    <w:rsid w:val="00DB375F"/>
    <w:rsid w:val="00DB6A4B"/>
    <w:rsid w:val="00DC410D"/>
    <w:rsid w:val="00DC68CA"/>
    <w:rsid w:val="00DC7CBA"/>
    <w:rsid w:val="00DD4643"/>
    <w:rsid w:val="00DD73B7"/>
    <w:rsid w:val="00DE5A1E"/>
    <w:rsid w:val="00DF18FD"/>
    <w:rsid w:val="00DF1F3B"/>
    <w:rsid w:val="00DF28BC"/>
    <w:rsid w:val="00DF34B9"/>
    <w:rsid w:val="00E00B81"/>
    <w:rsid w:val="00E01053"/>
    <w:rsid w:val="00E07ACF"/>
    <w:rsid w:val="00E331A1"/>
    <w:rsid w:val="00E33202"/>
    <w:rsid w:val="00E336A9"/>
    <w:rsid w:val="00E345B6"/>
    <w:rsid w:val="00E35103"/>
    <w:rsid w:val="00E35D18"/>
    <w:rsid w:val="00E37907"/>
    <w:rsid w:val="00E37FF2"/>
    <w:rsid w:val="00E4623B"/>
    <w:rsid w:val="00E4784D"/>
    <w:rsid w:val="00E50624"/>
    <w:rsid w:val="00E568DF"/>
    <w:rsid w:val="00E64269"/>
    <w:rsid w:val="00E82267"/>
    <w:rsid w:val="00E92E8C"/>
    <w:rsid w:val="00EA010F"/>
    <w:rsid w:val="00EA5E55"/>
    <w:rsid w:val="00EA6080"/>
    <w:rsid w:val="00EB7B47"/>
    <w:rsid w:val="00ED1B63"/>
    <w:rsid w:val="00ED2F47"/>
    <w:rsid w:val="00ED380D"/>
    <w:rsid w:val="00ED3C1F"/>
    <w:rsid w:val="00ED4085"/>
    <w:rsid w:val="00ED420E"/>
    <w:rsid w:val="00ED6C12"/>
    <w:rsid w:val="00ED752A"/>
    <w:rsid w:val="00EE2F57"/>
    <w:rsid w:val="00EE36AA"/>
    <w:rsid w:val="00EF4C34"/>
    <w:rsid w:val="00EF77C6"/>
    <w:rsid w:val="00F05438"/>
    <w:rsid w:val="00F11740"/>
    <w:rsid w:val="00F1361C"/>
    <w:rsid w:val="00F160C7"/>
    <w:rsid w:val="00F16C10"/>
    <w:rsid w:val="00F36D8F"/>
    <w:rsid w:val="00F417B1"/>
    <w:rsid w:val="00F43280"/>
    <w:rsid w:val="00F43A63"/>
    <w:rsid w:val="00F504CC"/>
    <w:rsid w:val="00F544D8"/>
    <w:rsid w:val="00F56A47"/>
    <w:rsid w:val="00F602DF"/>
    <w:rsid w:val="00F65CAF"/>
    <w:rsid w:val="00F81FD9"/>
    <w:rsid w:val="00F838A4"/>
    <w:rsid w:val="00F841AA"/>
    <w:rsid w:val="00F908B4"/>
    <w:rsid w:val="00F92E48"/>
    <w:rsid w:val="00F9514F"/>
    <w:rsid w:val="00FA23E8"/>
    <w:rsid w:val="00FB2969"/>
    <w:rsid w:val="00FB3E39"/>
    <w:rsid w:val="00FC35A5"/>
    <w:rsid w:val="00FD3CC1"/>
    <w:rsid w:val="00FE3498"/>
    <w:rsid w:val="00FF1E02"/>
    <w:rsid w:val="00FF30B4"/>
    <w:rsid w:val="014B165C"/>
    <w:rsid w:val="01811F71"/>
    <w:rsid w:val="029210B5"/>
    <w:rsid w:val="030C7B73"/>
    <w:rsid w:val="0388445E"/>
    <w:rsid w:val="053632AE"/>
    <w:rsid w:val="05D7550B"/>
    <w:rsid w:val="06E06BDE"/>
    <w:rsid w:val="074C450F"/>
    <w:rsid w:val="07676365"/>
    <w:rsid w:val="07866B35"/>
    <w:rsid w:val="079F3476"/>
    <w:rsid w:val="08144F1B"/>
    <w:rsid w:val="08431698"/>
    <w:rsid w:val="08B3756D"/>
    <w:rsid w:val="08BB012D"/>
    <w:rsid w:val="09490DBA"/>
    <w:rsid w:val="09557081"/>
    <w:rsid w:val="099F4F16"/>
    <w:rsid w:val="0AF858CB"/>
    <w:rsid w:val="0B4F3B8F"/>
    <w:rsid w:val="0B5A4105"/>
    <w:rsid w:val="0BA76B76"/>
    <w:rsid w:val="0C42485D"/>
    <w:rsid w:val="0CCD5758"/>
    <w:rsid w:val="0CEB6179"/>
    <w:rsid w:val="0D0873C1"/>
    <w:rsid w:val="0D2F4450"/>
    <w:rsid w:val="0DD34AB2"/>
    <w:rsid w:val="0DFE7CB5"/>
    <w:rsid w:val="0E1A00DE"/>
    <w:rsid w:val="0ECA47F2"/>
    <w:rsid w:val="0EFC6685"/>
    <w:rsid w:val="0F427D83"/>
    <w:rsid w:val="10341683"/>
    <w:rsid w:val="10786539"/>
    <w:rsid w:val="1081638A"/>
    <w:rsid w:val="10A55F9A"/>
    <w:rsid w:val="10A74EA7"/>
    <w:rsid w:val="10C055FF"/>
    <w:rsid w:val="10E02ECD"/>
    <w:rsid w:val="115E49BD"/>
    <w:rsid w:val="11702F17"/>
    <w:rsid w:val="118A1F56"/>
    <w:rsid w:val="12413F8A"/>
    <w:rsid w:val="12434103"/>
    <w:rsid w:val="125B6797"/>
    <w:rsid w:val="1260229D"/>
    <w:rsid w:val="12A306A4"/>
    <w:rsid w:val="13235C52"/>
    <w:rsid w:val="133656F1"/>
    <w:rsid w:val="136F6C86"/>
    <w:rsid w:val="14865D78"/>
    <w:rsid w:val="14A0702F"/>
    <w:rsid w:val="14CD2FEA"/>
    <w:rsid w:val="14F835C4"/>
    <w:rsid w:val="1535784A"/>
    <w:rsid w:val="15E15451"/>
    <w:rsid w:val="167F7A47"/>
    <w:rsid w:val="16B574E1"/>
    <w:rsid w:val="16BB723D"/>
    <w:rsid w:val="16C37052"/>
    <w:rsid w:val="16D76181"/>
    <w:rsid w:val="16EF7DC8"/>
    <w:rsid w:val="180B5E47"/>
    <w:rsid w:val="18410AFF"/>
    <w:rsid w:val="18473C67"/>
    <w:rsid w:val="189967BF"/>
    <w:rsid w:val="18C43652"/>
    <w:rsid w:val="18C879D1"/>
    <w:rsid w:val="18D91D01"/>
    <w:rsid w:val="198E11DF"/>
    <w:rsid w:val="19A348C9"/>
    <w:rsid w:val="19D32F7C"/>
    <w:rsid w:val="1A4571BC"/>
    <w:rsid w:val="1A803872"/>
    <w:rsid w:val="1AB07B9C"/>
    <w:rsid w:val="1AEF1D38"/>
    <w:rsid w:val="1AEF5184"/>
    <w:rsid w:val="1B210BF7"/>
    <w:rsid w:val="1B727862"/>
    <w:rsid w:val="1B841CEB"/>
    <w:rsid w:val="1B8D1BF2"/>
    <w:rsid w:val="1BA27232"/>
    <w:rsid w:val="1C53339C"/>
    <w:rsid w:val="1C745159"/>
    <w:rsid w:val="1C745F21"/>
    <w:rsid w:val="1C8925AF"/>
    <w:rsid w:val="1CD34E99"/>
    <w:rsid w:val="1D2E1CE6"/>
    <w:rsid w:val="1D4119FA"/>
    <w:rsid w:val="1D510EFE"/>
    <w:rsid w:val="1E073792"/>
    <w:rsid w:val="1E292B96"/>
    <w:rsid w:val="1E74661A"/>
    <w:rsid w:val="1ECA2CC9"/>
    <w:rsid w:val="1F5E333B"/>
    <w:rsid w:val="204554E1"/>
    <w:rsid w:val="20843FEE"/>
    <w:rsid w:val="20935C78"/>
    <w:rsid w:val="209A34E9"/>
    <w:rsid w:val="20A21B0B"/>
    <w:rsid w:val="20E57AF1"/>
    <w:rsid w:val="20F02F88"/>
    <w:rsid w:val="20F13C99"/>
    <w:rsid w:val="2143786F"/>
    <w:rsid w:val="21A56A43"/>
    <w:rsid w:val="22BE146A"/>
    <w:rsid w:val="22D11C90"/>
    <w:rsid w:val="2338786B"/>
    <w:rsid w:val="234B506B"/>
    <w:rsid w:val="23A351C1"/>
    <w:rsid w:val="240371BF"/>
    <w:rsid w:val="249429E7"/>
    <w:rsid w:val="24AF66F7"/>
    <w:rsid w:val="25065F13"/>
    <w:rsid w:val="253638ED"/>
    <w:rsid w:val="25461726"/>
    <w:rsid w:val="257B3284"/>
    <w:rsid w:val="26142089"/>
    <w:rsid w:val="267E52FE"/>
    <w:rsid w:val="26B67E6E"/>
    <w:rsid w:val="270A5078"/>
    <w:rsid w:val="274D6F86"/>
    <w:rsid w:val="279433F2"/>
    <w:rsid w:val="27BD369E"/>
    <w:rsid w:val="283B6E68"/>
    <w:rsid w:val="2847626A"/>
    <w:rsid w:val="29404FE7"/>
    <w:rsid w:val="29F10D4A"/>
    <w:rsid w:val="29FD04D3"/>
    <w:rsid w:val="2A0E3C30"/>
    <w:rsid w:val="2AB600E1"/>
    <w:rsid w:val="2B5E4804"/>
    <w:rsid w:val="2C090ACC"/>
    <w:rsid w:val="2C306BFC"/>
    <w:rsid w:val="2C516CD5"/>
    <w:rsid w:val="2CF36271"/>
    <w:rsid w:val="2D0159DA"/>
    <w:rsid w:val="2D22320F"/>
    <w:rsid w:val="2DB60869"/>
    <w:rsid w:val="2E5E4E47"/>
    <w:rsid w:val="2EA31348"/>
    <w:rsid w:val="2EEA3442"/>
    <w:rsid w:val="2F551D00"/>
    <w:rsid w:val="2F6B3FE7"/>
    <w:rsid w:val="2F6C4AF6"/>
    <w:rsid w:val="2F6D0A0C"/>
    <w:rsid w:val="2FB273BE"/>
    <w:rsid w:val="2FE003D7"/>
    <w:rsid w:val="306E6455"/>
    <w:rsid w:val="3078095B"/>
    <w:rsid w:val="3081031E"/>
    <w:rsid w:val="309758E9"/>
    <w:rsid w:val="30B249B1"/>
    <w:rsid w:val="30B86B8D"/>
    <w:rsid w:val="31484447"/>
    <w:rsid w:val="31492D2F"/>
    <w:rsid w:val="319F7F4E"/>
    <w:rsid w:val="31B601A9"/>
    <w:rsid w:val="32B11DD9"/>
    <w:rsid w:val="342B1D36"/>
    <w:rsid w:val="346649F5"/>
    <w:rsid w:val="34B528A3"/>
    <w:rsid w:val="350936A6"/>
    <w:rsid w:val="351F1C0C"/>
    <w:rsid w:val="3532799E"/>
    <w:rsid w:val="35931D76"/>
    <w:rsid w:val="35AC5E6F"/>
    <w:rsid w:val="36CD6F59"/>
    <w:rsid w:val="373E1D93"/>
    <w:rsid w:val="374565CD"/>
    <w:rsid w:val="37524C72"/>
    <w:rsid w:val="37537F32"/>
    <w:rsid w:val="380B52B3"/>
    <w:rsid w:val="38BA6B96"/>
    <w:rsid w:val="39804852"/>
    <w:rsid w:val="39D710A1"/>
    <w:rsid w:val="3A2B721C"/>
    <w:rsid w:val="3A46394B"/>
    <w:rsid w:val="3A490B50"/>
    <w:rsid w:val="3A852F79"/>
    <w:rsid w:val="3B0D67E2"/>
    <w:rsid w:val="3B3A7701"/>
    <w:rsid w:val="3B7E7ED7"/>
    <w:rsid w:val="3BDE2189"/>
    <w:rsid w:val="3C5D1B97"/>
    <w:rsid w:val="3CE208D9"/>
    <w:rsid w:val="3D1F7C4B"/>
    <w:rsid w:val="3D2D16A6"/>
    <w:rsid w:val="3DAE1661"/>
    <w:rsid w:val="3DD47127"/>
    <w:rsid w:val="3E5C04C3"/>
    <w:rsid w:val="3E6D5AB7"/>
    <w:rsid w:val="3E737F6F"/>
    <w:rsid w:val="3EFB5050"/>
    <w:rsid w:val="3F126CC8"/>
    <w:rsid w:val="403337C0"/>
    <w:rsid w:val="40637CAD"/>
    <w:rsid w:val="40647988"/>
    <w:rsid w:val="407C7DFF"/>
    <w:rsid w:val="40A87B5C"/>
    <w:rsid w:val="41113A7F"/>
    <w:rsid w:val="4291793E"/>
    <w:rsid w:val="43307548"/>
    <w:rsid w:val="43531BC5"/>
    <w:rsid w:val="435B3183"/>
    <w:rsid w:val="43C42880"/>
    <w:rsid w:val="43DA17C1"/>
    <w:rsid w:val="474B2D75"/>
    <w:rsid w:val="47A251B4"/>
    <w:rsid w:val="481837CC"/>
    <w:rsid w:val="487E3FA8"/>
    <w:rsid w:val="494A72F6"/>
    <w:rsid w:val="4992326C"/>
    <w:rsid w:val="49CD2724"/>
    <w:rsid w:val="49D8378A"/>
    <w:rsid w:val="4A013F01"/>
    <w:rsid w:val="4A3E698A"/>
    <w:rsid w:val="4AC109BD"/>
    <w:rsid w:val="4B976881"/>
    <w:rsid w:val="4BA674F8"/>
    <w:rsid w:val="4BAC36DB"/>
    <w:rsid w:val="4BF16188"/>
    <w:rsid w:val="4C413513"/>
    <w:rsid w:val="4CAD25C2"/>
    <w:rsid w:val="4D0C1FCD"/>
    <w:rsid w:val="4DA471F2"/>
    <w:rsid w:val="4E55265A"/>
    <w:rsid w:val="4E6E5B8D"/>
    <w:rsid w:val="4E8C2F5D"/>
    <w:rsid w:val="4EE303FD"/>
    <w:rsid w:val="4EE70542"/>
    <w:rsid w:val="4EE7677A"/>
    <w:rsid w:val="4F130883"/>
    <w:rsid w:val="4FC537D1"/>
    <w:rsid w:val="4FEA274C"/>
    <w:rsid w:val="50696D3C"/>
    <w:rsid w:val="50ED655E"/>
    <w:rsid w:val="510D2C8E"/>
    <w:rsid w:val="511359F3"/>
    <w:rsid w:val="512255E3"/>
    <w:rsid w:val="513965E5"/>
    <w:rsid w:val="51422351"/>
    <w:rsid w:val="51E318DD"/>
    <w:rsid w:val="53142126"/>
    <w:rsid w:val="535F3E58"/>
    <w:rsid w:val="53D94BCF"/>
    <w:rsid w:val="54646332"/>
    <w:rsid w:val="55DF4A1D"/>
    <w:rsid w:val="560602BD"/>
    <w:rsid w:val="5632548A"/>
    <w:rsid w:val="56533372"/>
    <w:rsid w:val="566A351A"/>
    <w:rsid w:val="56E16A9F"/>
    <w:rsid w:val="57132AE5"/>
    <w:rsid w:val="572620B9"/>
    <w:rsid w:val="57E81CFE"/>
    <w:rsid w:val="58107DBF"/>
    <w:rsid w:val="582D2DDE"/>
    <w:rsid w:val="58616F18"/>
    <w:rsid w:val="589275B2"/>
    <w:rsid w:val="58F5764D"/>
    <w:rsid w:val="592F524B"/>
    <w:rsid w:val="59B4438F"/>
    <w:rsid w:val="59D4722F"/>
    <w:rsid w:val="59E724B0"/>
    <w:rsid w:val="5A7327F5"/>
    <w:rsid w:val="5AB67CC0"/>
    <w:rsid w:val="5B4016E4"/>
    <w:rsid w:val="5BD849EA"/>
    <w:rsid w:val="5BF46E77"/>
    <w:rsid w:val="5C221AFD"/>
    <w:rsid w:val="5C346F4B"/>
    <w:rsid w:val="5C3B4833"/>
    <w:rsid w:val="5C7315C9"/>
    <w:rsid w:val="5D1B50C9"/>
    <w:rsid w:val="5D4F58B0"/>
    <w:rsid w:val="5D680E0E"/>
    <w:rsid w:val="5D7739CD"/>
    <w:rsid w:val="5DD242EA"/>
    <w:rsid w:val="5DD366B8"/>
    <w:rsid w:val="5E3D59C6"/>
    <w:rsid w:val="5F6248AE"/>
    <w:rsid w:val="5F887A99"/>
    <w:rsid w:val="601078EC"/>
    <w:rsid w:val="601A0DAC"/>
    <w:rsid w:val="601C5EA5"/>
    <w:rsid w:val="60223B43"/>
    <w:rsid w:val="609360FE"/>
    <w:rsid w:val="60E02EBB"/>
    <w:rsid w:val="61446563"/>
    <w:rsid w:val="624E3350"/>
    <w:rsid w:val="625F2E66"/>
    <w:rsid w:val="62614259"/>
    <w:rsid w:val="62D34417"/>
    <w:rsid w:val="63463683"/>
    <w:rsid w:val="63D52026"/>
    <w:rsid w:val="63DD45E4"/>
    <w:rsid w:val="63EE58D4"/>
    <w:rsid w:val="64836EB1"/>
    <w:rsid w:val="64BF164C"/>
    <w:rsid w:val="64CC0566"/>
    <w:rsid w:val="6522681B"/>
    <w:rsid w:val="660C4070"/>
    <w:rsid w:val="661D21E4"/>
    <w:rsid w:val="66CB4491"/>
    <w:rsid w:val="672A3931"/>
    <w:rsid w:val="67DD4B2A"/>
    <w:rsid w:val="68CB1ACB"/>
    <w:rsid w:val="68DB3E5A"/>
    <w:rsid w:val="69193A81"/>
    <w:rsid w:val="69D15E53"/>
    <w:rsid w:val="69FA46E9"/>
    <w:rsid w:val="6AAC3011"/>
    <w:rsid w:val="6AD56120"/>
    <w:rsid w:val="6B3D15BF"/>
    <w:rsid w:val="6B785296"/>
    <w:rsid w:val="6BA437B5"/>
    <w:rsid w:val="6BE2746D"/>
    <w:rsid w:val="6C3D5D09"/>
    <w:rsid w:val="6C494ADC"/>
    <w:rsid w:val="6CB85CF7"/>
    <w:rsid w:val="6D8A1B86"/>
    <w:rsid w:val="6DAB7186"/>
    <w:rsid w:val="6DB91AE6"/>
    <w:rsid w:val="6DEB4A87"/>
    <w:rsid w:val="6DFC0B62"/>
    <w:rsid w:val="6E0B7305"/>
    <w:rsid w:val="6E0D07F9"/>
    <w:rsid w:val="6E196EDB"/>
    <w:rsid w:val="6F34751A"/>
    <w:rsid w:val="6F433FB6"/>
    <w:rsid w:val="6FD601DD"/>
    <w:rsid w:val="70730A85"/>
    <w:rsid w:val="70BA0F6B"/>
    <w:rsid w:val="70CD1492"/>
    <w:rsid w:val="713E28F4"/>
    <w:rsid w:val="719B3EC7"/>
    <w:rsid w:val="71B42FAA"/>
    <w:rsid w:val="71DE439D"/>
    <w:rsid w:val="728150AF"/>
    <w:rsid w:val="73D4366C"/>
    <w:rsid w:val="74F47EA1"/>
    <w:rsid w:val="753B43FC"/>
    <w:rsid w:val="756D4BE5"/>
    <w:rsid w:val="75EB78FB"/>
    <w:rsid w:val="760D0D6D"/>
    <w:rsid w:val="762A631A"/>
    <w:rsid w:val="76EE0427"/>
    <w:rsid w:val="7723653F"/>
    <w:rsid w:val="775B659A"/>
    <w:rsid w:val="77C93C75"/>
    <w:rsid w:val="780C35E3"/>
    <w:rsid w:val="78450435"/>
    <w:rsid w:val="787144AC"/>
    <w:rsid w:val="78DC5E18"/>
    <w:rsid w:val="79AA388F"/>
    <w:rsid w:val="7A560211"/>
    <w:rsid w:val="7A7546F2"/>
    <w:rsid w:val="7B58767F"/>
    <w:rsid w:val="7B600682"/>
    <w:rsid w:val="7B705791"/>
    <w:rsid w:val="7B83498F"/>
    <w:rsid w:val="7BFE6705"/>
    <w:rsid w:val="7C306460"/>
    <w:rsid w:val="7C3403A7"/>
    <w:rsid w:val="7C56002A"/>
    <w:rsid w:val="7C901E89"/>
    <w:rsid w:val="7CF92371"/>
    <w:rsid w:val="7D335C67"/>
    <w:rsid w:val="7D5B5A26"/>
    <w:rsid w:val="7D830876"/>
    <w:rsid w:val="7DEE40A5"/>
    <w:rsid w:val="7E4C1055"/>
    <w:rsid w:val="7EA231B6"/>
    <w:rsid w:val="7ED60140"/>
    <w:rsid w:val="7F4142DA"/>
    <w:rsid w:val="7FAA40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eastAsia="仿宋"/>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eastAsia="仿宋"/>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99"/>
    <w:pPr>
      <w:spacing w:beforeAutospacing="1" w:afterAutospacing="1"/>
      <w:jc w:val="left"/>
    </w:pPr>
    <w:rPr>
      <w:kern w:val="0"/>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2"/>
    <w:qFormat/>
    <w:locked/>
    <w:uiPriority w:val="99"/>
    <w:rPr>
      <w:rFonts w:ascii="Times New Roman" w:hAnsi="Times New Roman" w:cs="Times New Roman"/>
      <w:b/>
      <w:bCs/>
      <w:kern w:val="44"/>
      <w:sz w:val="44"/>
      <w:szCs w:val="44"/>
    </w:rPr>
  </w:style>
  <w:style w:type="character" w:customStyle="1" w:styleId="18">
    <w:name w:val="Heading 2 Char"/>
    <w:basedOn w:val="14"/>
    <w:link w:val="3"/>
    <w:qFormat/>
    <w:locked/>
    <w:uiPriority w:val="99"/>
    <w:rPr>
      <w:rFonts w:ascii="Cambria" w:hAnsi="Cambria" w:eastAsia="宋体" w:cs="Times New Roman"/>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locked/>
    <w:uiPriority w:val="99"/>
    <w:rPr>
      <w:rFonts w:ascii="Times New Roman" w:hAnsi="Times New Roman" w:cs="Times New Roman"/>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qFormat/>
    <w:locked/>
    <w:uiPriority w:val="99"/>
    <w:rPr>
      <w:rFonts w:ascii="Times New Roman" w:hAnsi="Times New Roman" w:cs="Times New Roman"/>
      <w:sz w:val="18"/>
      <w:szCs w:val="18"/>
    </w:rPr>
  </w:style>
  <w:style w:type="character" w:customStyle="1" w:styleId="24">
    <w:name w:val="页眉 Char"/>
    <w:link w:val="9"/>
    <w:semiHidden/>
    <w:qFormat/>
    <w:locked/>
    <w:uiPriority w:val="99"/>
    <w:rPr>
      <w:sz w:val="18"/>
    </w:rPr>
  </w:style>
  <w:style w:type="character" w:customStyle="1" w:styleId="25">
    <w:name w:val="页脚 Char"/>
    <w:link w:val="8"/>
    <w:qFormat/>
    <w:locked/>
    <w:uiPriority w:val="99"/>
    <w:rPr>
      <w:sz w:val="18"/>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0">
    <w:name w:val="标题 2 Char"/>
    <w:basedOn w:val="14"/>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6531</Words>
  <Characters>7020</Characters>
  <Lines>16</Lines>
  <Paragraphs>17</Paragraphs>
  <TotalTime>14</TotalTime>
  <ScaleCrop>false</ScaleCrop>
  <LinksUpToDate>false</LinksUpToDate>
  <CharactersWithSpaces>7079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2022-09-06T03:35:00Z</cp:lastPrinted>
  <dcterms:modified xsi:type="dcterms:W3CDTF">2024-09-24T02:58:56Z</dcterms:modified>
  <dc:title>四川省***</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4122CEBCA2BF4F44BF6C595E195878FE</vt:lpwstr>
  </property>
</Properties>
</file>