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遂宁经开区202</w:t>
      </w:r>
      <w:r>
        <w:rPr>
          <w:rFonts w:hint="default" w:ascii="宋体" w:hAnsi="宋体" w:eastAsia="宋体" w:cs="宋体"/>
          <w:sz w:val="44"/>
          <w:szCs w:val="44"/>
          <w:lang w:eastAsia="zh-CN"/>
          <w:woUserID w:val="1"/>
        </w:rPr>
        <w:t>3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年绩效工作总结及202</w:t>
      </w:r>
      <w:r>
        <w:rPr>
          <w:rFonts w:hint="default" w:ascii="宋体" w:hAnsi="宋体" w:eastAsia="宋体" w:cs="宋体"/>
          <w:sz w:val="44"/>
          <w:szCs w:val="44"/>
          <w:lang w:eastAsia="zh-CN"/>
          <w:woUserID w:val="1"/>
        </w:rPr>
        <w:t>4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年绩效工作计划的说明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default" w:ascii="仿宋" w:hAnsi="仿宋" w:eastAsia="仿宋" w:cs="仿宋"/>
          <w:sz w:val="32"/>
          <w:szCs w:val="32"/>
          <w:woUserID w:val="1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年我区财政绩效评价遵循“全面覆盖、规范实施、确保质量、注重成效”的工作原则，绩效评价的所属时段为202</w:t>
      </w:r>
      <w:r>
        <w:rPr>
          <w:rFonts w:hint="default" w:ascii="仿宋" w:hAnsi="仿宋" w:eastAsia="仿宋" w:cs="仿宋"/>
          <w:sz w:val="32"/>
          <w:szCs w:val="32"/>
          <w:woUserID w:val="1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年1月1日至202</w:t>
      </w:r>
      <w:r>
        <w:rPr>
          <w:rFonts w:hint="default" w:ascii="仿宋" w:hAnsi="仿宋" w:eastAsia="仿宋" w:cs="仿宋"/>
          <w:sz w:val="32"/>
          <w:szCs w:val="32"/>
          <w:woUserID w:val="1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年12月31日。重点选取了</w:t>
      </w:r>
      <w:r>
        <w:rPr>
          <w:rFonts w:hint="default" w:ascii="仿宋" w:hAnsi="仿宋" w:eastAsia="仿宋" w:cs="仿宋"/>
          <w:sz w:val="32"/>
          <w:szCs w:val="32"/>
          <w:woUserID w:val="1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个项目支出、5个部门（单位）整体支出、1个财政政策进行绩效评价，资金</w:t>
      </w:r>
      <w:r>
        <w:rPr>
          <w:rFonts w:hint="default" w:ascii="仿宋" w:hAnsi="仿宋" w:eastAsia="仿宋" w:cs="仿宋"/>
          <w:sz w:val="32"/>
          <w:szCs w:val="32"/>
          <w:woUserID w:val="1"/>
        </w:rPr>
        <w:t>7063.77</w:t>
      </w:r>
      <w:r>
        <w:rPr>
          <w:rFonts w:hint="eastAsia" w:ascii="仿宋" w:hAnsi="仿宋" w:eastAsia="仿宋" w:cs="仿宋"/>
          <w:sz w:val="32"/>
          <w:szCs w:val="32"/>
        </w:rPr>
        <w:t>万元，5个部门整体绩效评价，平均得分</w:t>
      </w:r>
      <w:r>
        <w:rPr>
          <w:rFonts w:hint="default" w:ascii="仿宋" w:hAnsi="仿宋" w:eastAsia="仿宋" w:cs="仿宋"/>
          <w:sz w:val="32"/>
          <w:szCs w:val="32"/>
          <w:woUserID w:val="1"/>
        </w:rPr>
        <w:t>85.94</w:t>
      </w:r>
      <w:r>
        <w:rPr>
          <w:rFonts w:hint="eastAsia" w:ascii="仿宋" w:hAnsi="仿宋" w:eastAsia="仿宋" w:cs="仿宋"/>
          <w:sz w:val="32"/>
          <w:szCs w:val="32"/>
        </w:rPr>
        <w:t>分，其中：最高得分为</w:t>
      </w:r>
      <w:r>
        <w:rPr>
          <w:rFonts w:hint="default" w:ascii="仿宋" w:hAnsi="仿宋" w:eastAsia="仿宋" w:cs="仿宋"/>
          <w:sz w:val="32"/>
          <w:szCs w:val="32"/>
          <w:woUserID w:val="1"/>
        </w:rPr>
        <w:t>91.9</w:t>
      </w:r>
      <w:r>
        <w:rPr>
          <w:rFonts w:hint="eastAsia" w:ascii="仿宋" w:hAnsi="仿宋" w:eastAsia="仿宋" w:cs="仿宋"/>
          <w:sz w:val="32"/>
          <w:szCs w:val="32"/>
        </w:rPr>
        <w:t>分，最低得分为82分；</w:t>
      </w:r>
      <w:r>
        <w:rPr>
          <w:rFonts w:hint="default" w:ascii="仿宋" w:hAnsi="仿宋" w:eastAsia="仿宋" w:cs="仿宋"/>
          <w:sz w:val="32"/>
          <w:szCs w:val="32"/>
          <w:woUserID w:val="1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个项目绩效评价，平均得分91.</w:t>
      </w:r>
      <w:r>
        <w:rPr>
          <w:rFonts w:hint="default" w:ascii="仿宋" w:hAnsi="仿宋" w:eastAsia="仿宋" w:cs="仿宋"/>
          <w:sz w:val="32"/>
          <w:szCs w:val="32"/>
          <w:woUserID w:val="1"/>
        </w:rPr>
        <w:t>75</w:t>
      </w:r>
      <w:r>
        <w:rPr>
          <w:rFonts w:hint="eastAsia" w:ascii="仿宋" w:hAnsi="仿宋" w:eastAsia="仿宋" w:cs="仿宋"/>
          <w:sz w:val="32"/>
          <w:szCs w:val="32"/>
        </w:rPr>
        <w:t>分，其中：8个项目得分高于90分，</w:t>
      </w:r>
      <w:r>
        <w:rPr>
          <w:rFonts w:hint="default" w:ascii="仿宋" w:hAnsi="仿宋" w:eastAsia="仿宋" w:cs="仿宋"/>
          <w:sz w:val="32"/>
          <w:szCs w:val="32"/>
          <w:woUserID w:val="1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项目得分在80-90分之间；1个财政政策绩效评价，得分97分。存在的主要问题包括预算编制准确率较低，预算执行支出控制效果不佳；绩效目标设置不够完善；绩效目标设置不明确；绩效目标完成率较低；业务流程管理不规范；决算金额与实际支出金额不一致；未按规定进行资金支付。针对存在的问题，区财政金融已经下发整改通知，要求被检查单位限期整改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 w:cs="仿宋"/>
          <w:sz w:val="32"/>
          <w:szCs w:val="32"/>
          <w:lang w:eastAsia="zh-CN"/>
          <w:woUserID w:val="1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年，将区级财政资金全覆盖纳入绩效管理，计划选取10个本级财政支出项目进行现场绩效评价。将所有区级预算部门纳入部门整体支出绩效评价自评范围，并抽取其中5-6个部门开展现场重点评价。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E77B1"/>
    <w:rsid w:val="23CE77B1"/>
    <w:rsid w:val="6F3FB21E"/>
    <w:rsid w:val="7FFFAD9C"/>
    <w:rsid w:val="D9EC6899"/>
    <w:rsid w:val="EEFE8174"/>
    <w:rsid w:val="FEFDA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2023-06-02T09:30:00Z</dcterms:created>
  <dc:creator>lenovo6</dc:creator>
  <cp:lastModifiedBy>lenovo6</cp:lastModifiedBy>
  <dcterms:modified xsi:type="dcterms:W3CDTF">2024-04-19T15:11:34Z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