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23" w:rightChars="11" w:firstLine="1084" w:firstLineChars="30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遂宁经济技术开发区财政金融国资管理局</w:t>
      </w:r>
    </w:p>
    <w:p>
      <w:pPr>
        <w:spacing w:line="600" w:lineRule="exact"/>
        <w:ind w:right="23" w:rightChars="11"/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 xml:space="preserve"> 关于开发区202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年财政决算的报告</w:t>
      </w:r>
    </w:p>
    <w:p>
      <w:pPr>
        <w:widowControl/>
        <w:jc w:val="left"/>
        <w:rPr>
          <w:rFonts w:hint="eastAsia" w:ascii="仿宋" w:hAnsi="仿宋" w:eastAsia="仿宋" w:cs="仿宋"/>
          <w:color w:val="231F2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231F20"/>
          <w:kern w:val="0"/>
          <w:sz w:val="30"/>
          <w:szCs w:val="30"/>
        </w:rPr>
        <w:t>管委会：</w:t>
      </w:r>
    </w:p>
    <w:p>
      <w:pPr>
        <w:widowControl/>
        <w:ind w:firstLine="72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231F20"/>
          <w:kern w:val="0"/>
          <w:sz w:val="30"/>
          <w:szCs w:val="30"/>
        </w:rPr>
        <w:t>根据会议安排，向本次会议报告经开区202</w:t>
      </w:r>
      <w:r>
        <w:rPr>
          <w:rFonts w:hint="eastAsia" w:ascii="仿宋" w:hAnsi="仿宋" w:eastAsia="仿宋" w:cs="仿宋"/>
          <w:color w:val="231F2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231F20"/>
          <w:kern w:val="0"/>
          <w:sz w:val="30"/>
          <w:szCs w:val="30"/>
        </w:rPr>
        <w:t>年财政决算，请予审查。</w:t>
      </w:r>
    </w:p>
    <w:p>
      <w:pPr>
        <w:spacing w:line="590" w:lineRule="exact"/>
        <w:ind w:firstLine="600" w:firstLineChars="20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一、202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0"/>
          <w:szCs w:val="30"/>
        </w:rPr>
        <w:t>年财政决算情况</w:t>
      </w:r>
    </w:p>
    <w:p>
      <w:pPr>
        <w:spacing w:line="590" w:lineRule="exact"/>
        <w:ind w:firstLine="600" w:firstLineChars="20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（一）一般公共预算收支决算情况</w:t>
      </w:r>
    </w:p>
    <w:p>
      <w:pPr>
        <w:spacing w:line="59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eastAsia="仿宋_GB2312"/>
          <w:sz w:val="32"/>
          <w:szCs w:val="32"/>
        </w:rPr>
        <w:t>年，区本级地方一般公共预算收入完成</w:t>
      </w:r>
      <w:r>
        <w:rPr>
          <w:rFonts w:hint="eastAsia" w:eastAsia="仿宋_GB2312"/>
          <w:sz w:val="32"/>
          <w:szCs w:val="32"/>
          <w:lang w:val="en-US" w:eastAsia="zh-CN"/>
        </w:rPr>
        <w:t>94792</w:t>
      </w:r>
      <w:r>
        <w:rPr>
          <w:rFonts w:eastAsia="仿宋_GB2312"/>
          <w:sz w:val="32"/>
          <w:szCs w:val="32"/>
        </w:rPr>
        <w:t>万元，为预算的100%，同口径增长</w:t>
      </w:r>
      <w:r>
        <w:rPr>
          <w:rFonts w:hint="eastAsia" w:eastAsia="仿宋_GB2312"/>
          <w:sz w:val="32"/>
          <w:szCs w:val="32"/>
          <w:lang w:val="en-US" w:eastAsia="zh-CN"/>
        </w:rPr>
        <w:t>1.52</w:t>
      </w:r>
      <w:r>
        <w:rPr>
          <w:rFonts w:eastAsia="仿宋_GB2312"/>
          <w:sz w:val="32"/>
          <w:szCs w:val="32"/>
        </w:rPr>
        <w:t>%（以下简称“增长”）。其中：税收收入</w:t>
      </w:r>
      <w:r>
        <w:rPr>
          <w:rFonts w:hint="eastAsia" w:eastAsia="仿宋_GB2312"/>
          <w:sz w:val="32"/>
          <w:szCs w:val="32"/>
          <w:lang w:val="en-US" w:eastAsia="zh-CN"/>
        </w:rPr>
        <w:t>32525</w:t>
      </w:r>
      <w:r>
        <w:rPr>
          <w:rFonts w:eastAsia="仿宋_GB2312"/>
          <w:sz w:val="32"/>
          <w:szCs w:val="32"/>
        </w:rPr>
        <w:t>万元，占地方一般公共预算收入的比重为</w:t>
      </w:r>
      <w:r>
        <w:rPr>
          <w:rFonts w:hint="eastAsia" w:eastAsia="仿宋_GB2312"/>
          <w:sz w:val="32"/>
          <w:szCs w:val="32"/>
          <w:lang w:val="en-US" w:eastAsia="zh-CN"/>
        </w:rPr>
        <w:t>34.31</w:t>
      </w:r>
      <w:r>
        <w:rPr>
          <w:rFonts w:eastAsia="仿宋_GB2312"/>
          <w:sz w:val="32"/>
          <w:szCs w:val="32"/>
        </w:rPr>
        <w:t>%；非税收入完成</w:t>
      </w:r>
      <w:r>
        <w:rPr>
          <w:rFonts w:hint="eastAsia" w:eastAsia="仿宋_GB2312"/>
          <w:sz w:val="32"/>
          <w:szCs w:val="32"/>
          <w:lang w:val="en-US" w:eastAsia="zh-CN"/>
        </w:rPr>
        <w:t>62267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spacing w:line="590" w:lineRule="exact"/>
        <w:ind w:firstLine="640" w:firstLineChars="200"/>
        <w:rPr>
          <w:rFonts w:eastAsia="仿宋_GB2312"/>
          <w:spacing w:val="-6"/>
          <w:sz w:val="32"/>
          <w:szCs w:val="32"/>
        </w:rPr>
      </w:pPr>
      <w:r>
        <w:rPr>
          <w:rStyle w:val="10"/>
          <w:rFonts w:eastAsia="仿宋_GB2312"/>
          <w:sz w:val="32"/>
          <w:szCs w:val="32"/>
        </w:rPr>
        <w:t>收</w:t>
      </w:r>
      <w:r>
        <w:rPr>
          <w:rStyle w:val="10"/>
          <w:rFonts w:eastAsia="仿宋_GB2312"/>
          <w:spacing w:val="-6"/>
          <w:sz w:val="32"/>
          <w:szCs w:val="32"/>
        </w:rPr>
        <w:t>支预算实现平衡。全区地方一般公共预算收入实现</w:t>
      </w:r>
      <w:r>
        <w:rPr>
          <w:rStyle w:val="10"/>
          <w:rFonts w:hint="eastAsia" w:eastAsia="仿宋_GB2312"/>
          <w:spacing w:val="-6"/>
          <w:sz w:val="32"/>
          <w:szCs w:val="32"/>
          <w:lang w:val="en-US" w:eastAsia="zh-CN"/>
        </w:rPr>
        <w:t>94792</w:t>
      </w:r>
      <w:r>
        <w:rPr>
          <w:rStyle w:val="10"/>
          <w:rFonts w:eastAsia="仿宋_GB2312"/>
          <w:spacing w:val="-6"/>
          <w:sz w:val="32"/>
          <w:szCs w:val="32"/>
        </w:rPr>
        <w:t>万元，加上中省补助、地方政府置换债券资金、调入资金、上年结转结余等收入</w:t>
      </w:r>
      <w:r>
        <w:rPr>
          <w:rStyle w:val="10"/>
          <w:rFonts w:hint="eastAsia" w:eastAsia="仿宋_GB2312"/>
          <w:color w:val="auto"/>
          <w:spacing w:val="-6"/>
          <w:sz w:val="32"/>
          <w:szCs w:val="32"/>
          <w:lang w:val="en-US" w:eastAsia="zh-CN"/>
        </w:rPr>
        <w:t>121471</w:t>
      </w:r>
      <w:r>
        <w:rPr>
          <w:rStyle w:val="10"/>
          <w:rFonts w:eastAsia="仿宋_GB2312"/>
          <w:color w:val="auto"/>
          <w:spacing w:val="-6"/>
          <w:sz w:val="32"/>
          <w:szCs w:val="32"/>
        </w:rPr>
        <w:t>万元，可供安排的支出总量为</w:t>
      </w:r>
      <w:r>
        <w:rPr>
          <w:rStyle w:val="10"/>
          <w:rFonts w:hint="eastAsia" w:eastAsia="仿宋_GB2312"/>
          <w:color w:val="auto"/>
          <w:spacing w:val="-6"/>
          <w:sz w:val="32"/>
          <w:szCs w:val="32"/>
          <w:lang w:val="en-US" w:eastAsia="zh-CN"/>
        </w:rPr>
        <w:t>216263</w:t>
      </w:r>
      <w:r>
        <w:rPr>
          <w:rStyle w:val="10"/>
          <w:rFonts w:eastAsia="仿宋_GB2312"/>
          <w:color w:val="auto"/>
          <w:spacing w:val="-6"/>
          <w:sz w:val="32"/>
          <w:szCs w:val="32"/>
        </w:rPr>
        <w:t>万元。</w:t>
      </w:r>
      <w:r>
        <w:rPr>
          <w:rStyle w:val="10"/>
          <w:rFonts w:eastAsia="仿宋_GB2312"/>
          <w:spacing w:val="-6"/>
          <w:sz w:val="32"/>
          <w:szCs w:val="32"/>
        </w:rPr>
        <w:t>其中：一般公共预算支出</w:t>
      </w:r>
      <w:r>
        <w:rPr>
          <w:rStyle w:val="10"/>
          <w:rFonts w:hint="eastAsia" w:eastAsia="仿宋_GB2312"/>
          <w:spacing w:val="-6"/>
          <w:sz w:val="32"/>
          <w:szCs w:val="32"/>
          <w:lang w:val="en-US" w:eastAsia="zh-CN"/>
        </w:rPr>
        <w:t>182764</w:t>
      </w:r>
      <w:r>
        <w:rPr>
          <w:rStyle w:val="10"/>
          <w:rFonts w:eastAsia="仿宋_GB2312"/>
          <w:spacing w:val="-6"/>
          <w:sz w:val="32"/>
          <w:szCs w:val="32"/>
        </w:rPr>
        <w:t>万元；</w:t>
      </w:r>
      <w:r>
        <w:rPr>
          <w:rStyle w:val="10"/>
          <w:rFonts w:eastAsia="仿宋_GB2312"/>
          <w:color w:val="auto"/>
          <w:spacing w:val="-6"/>
          <w:sz w:val="32"/>
          <w:szCs w:val="32"/>
        </w:rPr>
        <w:t>上解支出</w:t>
      </w:r>
      <w:r>
        <w:rPr>
          <w:rStyle w:val="10"/>
          <w:rFonts w:hint="eastAsia" w:eastAsia="仿宋_GB2312"/>
          <w:color w:val="auto"/>
          <w:spacing w:val="-6"/>
          <w:sz w:val="32"/>
          <w:szCs w:val="32"/>
          <w:lang w:val="en-US" w:eastAsia="zh-CN"/>
        </w:rPr>
        <w:t>6913</w:t>
      </w:r>
      <w:r>
        <w:rPr>
          <w:rStyle w:val="10"/>
          <w:rFonts w:eastAsia="仿宋_GB2312"/>
          <w:color w:val="auto"/>
          <w:spacing w:val="-6"/>
          <w:sz w:val="32"/>
          <w:szCs w:val="32"/>
        </w:rPr>
        <w:t>万元；一般债务还本支出</w:t>
      </w:r>
      <w:r>
        <w:rPr>
          <w:rStyle w:val="10"/>
          <w:rFonts w:hint="eastAsia" w:eastAsia="仿宋_GB2312"/>
          <w:color w:val="auto"/>
          <w:spacing w:val="-6"/>
          <w:sz w:val="32"/>
          <w:szCs w:val="32"/>
          <w:lang w:val="en-US" w:eastAsia="zh-CN"/>
        </w:rPr>
        <w:t>14360</w:t>
      </w:r>
      <w:r>
        <w:rPr>
          <w:rStyle w:val="10"/>
          <w:rFonts w:eastAsia="仿宋_GB2312"/>
          <w:color w:val="auto"/>
          <w:spacing w:val="-6"/>
          <w:sz w:val="32"/>
          <w:szCs w:val="32"/>
        </w:rPr>
        <w:t>万元；补充预算稳定调节基金</w:t>
      </w:r>
      <w:r>
        <w:rPr>
          <w:rStyle w:val="10"/>
          <w:rFonts w:hint="eastAsia" w:eastAsia="仿宋_GB2312"/>
          <w:color w:val="auto"/>
          <w:spacing w:val="-6"/>
          <w:sz w:val="32"/>
          <w:szCs w:val="32"/>
          <w:lang w:val="en-US" w:eastAsia="zh-CN"/>
        </w:rPr>
        <w:t>9205</w:t>
      </w:r>
      <w:r>
        <w:rPr>
          <w:rStyle w:val="10"/>
          <w:rFonts w:eastAsia="仿宋_GB2312"/>
          <w:color w:val="auto"/>
          <w:spacing w:val="-6"/>
          <w:sz w:val="32"/>
          <w:szCs w:val="32"/>
        </w:rPr>
        <w:t>万元，年终结余</w:t>
      </w:r>
      <w:r>
        <w:rPr>
          <w:rStyle w:val="10"/>
          <w:rFonts w:hint="eastAsia" w:eastAsia="仿宋_GB2312"/>
          <w:color w:val="auto"/>
          <w:spacing w:val="-6"/>
          <w:sz w:val="32"/>
          <w:szCs w:val="32"/>
          <w:lang w:val="en-US" w:eastAsia="zh-CN"/>
        </w:rPr>
        <w:t>3021</w:t>
      </w:r>
      <w:r>
        <w:rPr>
          <w:rStyle w:val="10"/>
          <w:rFonts w:eastAsia="仿宋_GB2312"/>
          <w:color w:val="auto"/>
          <w:spacing w:val="-6"/>
          <w:sz w:val="32"/>
          <w:szCs w:val="32"/>
        </w:rPr>
        <w:t>万元，全区一般公共预算总支出</w:t>
      </w:r>
      <w:r>
        <w:rPr>
          <w:rStyle w:val="10"/>
          <w:rFonts w:hint="eastAsia" w:eastAsia="仿宋_GB2312"/>
          <w:color w:val="auto"/>
          <w:spacing w:val="-6"/>
          <w:sz w:val="32"/>
          <w:szCs w:val="32"/>
          <w:lang w:val="en-US" w:eastAsia="zh-CN"/>
        </w:rPr>
        <w:t>216263</w:t>
      </w:r>
      <w:r>
        <w:rPr>
          <w:rStyle w:val="10"/>
          <w:rFonts w:eastAsia="仿宋_GB2312"/>
          <w:color w:val="auto"/>
          <w:spacing w:val="-6"/>
          <w:sz w:val="32"/>
          <w:szCs w:val="32"/>
        </w:rPr>
        <w:t>万元，实现收支</w:t>
      </w:r>
      <w:r>
        <w:rPr>
          <w:rStyle w:val="10"/>
          <w:rFonts w:eastAsia="仿宋_GB2312"/>
          <w:spacing w:val="-6"/>
          <w:sz w:val="32"/>
          <w:szCs w:val="32"/>
        </w:rPr>
        <w:t>平衡。</w:t>
      </w:r>
    </w:p>
    <w:p>
      <w:pPr>
        <w:spacing w:line="590" w:lineRule="exact"/>
        <w:ind w:firstLine="600" w:firstLineChars="20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（二）政府性基金收支决算情况</w:t>
      </w:r>
    </w:p>
    <w:p>
      <w:pPr>
        <w:spacing w:line="590" w:lineRule="exact"/>
        <w:ind w:firstLine="640" w:firstLineChars="200"/>
        <w:rPr>
          <w:rFonts w:eastAsia="仿宋_GB2312"/>
          <w:color w:val="0000FF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22</w:t>
      </w:r>
      <w:r>
        <w:rPr>
          <w:rFonts w:eastAsia="仿宋_GB2312"/>
          <w:sz w:val="32"/>
          <w:szCs w:val="32"/>
        </w:rPr>
        <w:t>年，区本级政府性基金收入完成</w:t>
      </w:r>
      <w:r>
        <w:rPr>
          <w:rFonts w:hint="eastAsia" w:eastAsia="仿宋_GB2312"/>
          <w:sz w:val="32"/>
          <w:szCs w:val="32"/>
          <w:lang w:val="en-US" w:eastAsia="zh-CN"/>
        </w:rPr>
        <w:t>184810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val="en-US" w:eastAsia="zh-CN"/>
        </w:rPr>
        <w:t>100%</w:t>
      </w:r>
      <w:r>
        <w:rPr>
          <w:rFonts w:eastAsia="仿宋_GB2312"/>
          <w:sz w:val="32"/>
          <w:szCs w:val="32"/>
        </w:rPr>
        <w:t>完成预算。加上中省补助、地方政府置换债券资金、调入资金、上年结转结余等收入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243784</w:t>
      </w:r>
      <w:r>
        <w:rPr>
          <w:rFonts w:eastAsia="仿宋_GB2312"/>
          <w:color w:val="auto"/>
          <w:sz w:val="32"/>
          <w:szCs w:val="32"/>
        </w:rPr>
        <w:t>万元，可供安排的收入总量为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428594</w:t>
      </w:r>
      <w:r>
        <w:rPr>
          <w:rFonts w:eastAsia="仿宋_GB2312"/>
          <w:color w:val="auto"/>
          <w:sz w:val="32"/>
          <w:szCs w:val="32"/>
        </w:rPr>
        <w:t>万元。</w:t>
      </w:r>
      <w:r>
        <w:rPr>
          <w:rFonts w:eastAsia="仿宋_GB2312"/>
          <w:sz w:val="32"/>
          <w:szCs w:val="32"/>
        </w:rPr>
        <w:t>其中：</w:t>
      </w:r>
      <w:r>
        <w:rPr>
          <w:rFonts w:eastAsia="仿宋_GB2312"/>
          <w:color w:val="auto"/>
          <w:sz w:val="32"/>
          <w:szCs w:val="32"/>
        </w:rPr>
        <w:t>基金预算支出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390938</w:t>
      </w:r>
      <w:r>
        <w:rPr>
          <w:rFonts w:eastAsia="仿宋_GB2312"/>
          <w:color w:val="auto"/>
          <w:sz w:val="32"/>
          <w:szCs w:val="32"/>
        </w:rPr>
        <w:t>万元，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上解支出284万元，调出11882万元，</w:t>
      </w:r>
      <w:r>
        <w:rPr>
          <w:rFonts w:eastAsia="仿宋_GB2312"/>
          <w:color w:val="auto"/>
          <w:sz w:val="32"/>
          <w:szCs w:val="32"/>
        </w:rPr>
        <w:t>政府专项债务还本支出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17927</w:t>
      </w:r>
      <w:r>
        <w:rPr>
          <w:rFonts w:eastAsia="仿宋_GB2312"/>
          <w:color w:val="auto"/>
          <w:sz w:val="32"/>
          <w:szCs w:val="32"/>
        </w:rPr>
        <w:t>万元，年终结余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17563</w:t>
      </w:r>
      <w:r>
        <w:rPr>
          <w:rFonts w:eastAsia="仿宋_GB2312"/>
          <w:color w:val="auto"/>
          <w:sz w:val="32"/>
          <w:szCs w:val="32"/>
        </w:rPr>
        <w:t>万元，基金总支出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428594</w:t>
      </w:r>
      <w:r>
        <w:rPr>
          <w:rFonts w:eastAsia="仿宋_GB2312"/>
          <w:color w:val="auto"/>
          <w:sz w:val="32"/>
          <w:szCs w:val="32"/>
        </w:rPr>
        <w:t>万元，当年收支平衡。</w:t>
      </w:r>
    </w:p>
    <w:p>
      <w:pPr>
        <w:spacing w:line="590" w:lineRule="exact"/>
        <w:ind w:firstLine="600" w:firstLineChars="20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（三）国有资本经营收支决算情况</w:t>
      </w:r>
    </w:p>
    <w:p>
      <w:pPr>
        <w:spacing w:line="59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全区国有资本经营预算收入实现</w:t>
      </w:r>
      <w:r>
        <w:rPr>
          <w:rFonts w:hint="eastAsia" w:eastAsia="仿宋_GB2312"/>
          <w:sz w:val="32"/>
          <w:szCs w:val="32"/>
          <w:lang w:val="en-US" w:eastAsia="zh-CN"/>
        </w:rPr>
        <w:t>667</w:t>
      </w:r>
      <w:r>
        <w:rPr>
          <w:rFonts w:eastAsia="仿宋_GB2312"/>
          <w:sz w:val="32"/>
          <w:szCs w:val="32"/>
        </w:rPr>
        <w:t>万元，为预算的100%，无上年结转结余，</w:t>
      </w:r>
      <w:r>
        <w:rPr>
          <w:rFonts w:hint="eastAsia" w:eastAsia="仿宋_GB2312"/>
          <w:sz w:val="32"/>
          <w:szCs w:val="32"/>
          <w:lang w:val="en-US" w:eastAsia="zh-CN"/>
        </w:rPr>
        <w:t>加上上级补助收入118万元，</w:t>
      </w:r>
      <w:r>
        <w:rPr>
          <w:rFonts w:eastAsia="仿宋_GB2312"/>
          <w:sz w:val="32"/>
          <w:szCs w:val="32"/>
        </w:rPr>
        <w:t>可供安排的收入总量为</w:t>
      </w:r>
      <w:r>
        <w:rPr>
          <w:rFonts w:hint="eastAsia" w:eastAsia="仿宋_GB2312"/>
          <w:sz w:val="32"/>
          <w:szCs w:val="32"/>
          <w:lang w:val="en-US" w:eastAsia="zh-CN"/>
        </w:rPr>
        <w:t>785</w:t>
      </w:r>
      <w:r>
        <w:rPr>
          <w:rFonts w:eastAsia="仿宋_GB2312"/>
          <w:sz w:val="32"/>
          <w:szCs w:val="32"/>
        </w:rPr>
        <w:t>万元。国有资本经营预算支出实现</w:t>
      </w:r>
      <w:r>
        <w:rPr>
          <w:rFonts w:hint="eastAsia" w:eastAsia="仿宋_GB2312"/>
          <w:sz w:val="32"/>
          <w:szCs w:val="32"/>
          <w:lang w:val="en-US" w:eastAsia="zh-CN"/>
        </w:rPr>
        <w:t>533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val="en-US" w:eastAsia="zh-CN"/>
        </w:rPr>
        <w:t>调出到一般公共预算207万元，年终结余45万元，</w:t>
      </w:r>
      <w:r>
        <w:rPr>
          <w:rFonts w:eastAsia="仿宋_GB2312"/>
          <w:sz w:val="32"/>
          <w:szCs w:val="32"/>
        </w:rPr>
        <w:t>当年收支平衡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spacing w:line="590" w:lineRule="exact"/>
        <w:ind w:firstLine="600" w:firstLineChars="20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（四）社会保险基金收支决算情况</w:t>
      </w:r>
    </w:p>
    <w:p>
      <w:pPr>
        <w:spacing w:line="59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因我区体制问题，辖区内各单位各部门上缴的社会保险基金全部缴入市财政局，我区无社会保险基金收支预算。</w:t>
      </w:r>
    </w:p>
    <w:p>
      <w:pPr>
        <w:spacing w:line="590" w:lineRule="exact"/>
        <w:ind w:firstLine="600" w:firstLineChars="200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（五）全区政府债务情况</w:t>
      </w:r>
    </w:p>
    <w:p>
      <w:pPr>
        <w:spacing w:line="59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20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22</w:t>
      </w:r>
      <w:r>
        <w:rPr>
          <w:rFonts w:eastAsia="仿宋_GB2312"/>
          <w:color w:val="auto"/>
          <w:sz w:val="32"/>
          <w:szCs w:val="32"/>
        </w:rPr>
        <w:t>年园区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新增</w:t>
      </w:r>
      <w:r>
        <w:rPr>
          <w:rFonts w:eastAsia="仿宋_GB2312"/>
          <w:color w:val="auto"/>
          <w:sz w:val="32"/>
          <w:szCs w:val="32"/>
        </w:rPr>
        <w:t>地方政府债务转贷收入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179660</w:t>
      </w:r>
      <w:r>
        <w:rPr>
          <w:rFonts w:eastAsia="仿宋_GB2312"/>
          <w:color w:val="auto"/>
          <w:sz w:val="32"/>
          <w:szCs w:val="32"/>
        </w:rPr>
        <w:t>万元（其中：一般债务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60</w:t>
      </w:r>
      <w:r>
        <w:rPr>
          <w:rFonts w:eastAsia="仿宋_GB2312"/>
          <w:color w:val="auto"/>
          <w:sz w:val="32"/>
          <w:szCs w:val="32"/>
        </w:rPr>
        <w:t>万元，专项债务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179600</w:t>
      </w:r>
      <w:r>
        <w:rPr>
          <w:rFonts w:eastAsia="仿宋_GB2312"/>
          <w:color w:val="auto"/>
          <w:sz w:val="32"/>
          <w:szCs w:val="32"/>
        </w:rPr>
        <w:t>万元）。以上资金主要用于建设城市基础设施和城市棚户区改造等方面，有力地支持了园区城市建设和民生事业，形成了大量优质资产和公益性设施。</w:t>
      </w:r>
    </w:p>
    <w:p>
      <w:pPr>
        <w:pStyle w:val="9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二、202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年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重点支出保障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202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0"/>
          <w:szCs w:val="30"/>
        </w:rPr>
        <w:t>年全区各级各部门紧紧围绕党工委管委会各项重大决算部署，落实积极财政政策，在疫情防控常态化的前提下，着力优化支出结构，集中财力保障重点，为经济社会发展提供了有力的政策支撑和财力保障。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b/>
          <w:sz w:val="30"/>
          <w:szCs w:val="30"/>
        </w:rPr>
        <w:t>1、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助力乡村振兴，支持农业农村发展方面支出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3438</w:t>
      </w:r>
      <w:r>
        <w:rPr>
          <w:rFonts w:hint="eastAsia" w:ascii="仿宋" w:hAnsi="仿宋" w:eastAsia="仿宋" w:cs="仿宋"/>
          <w:sz w:val="30"/>
          <w:szCs w:val="30"/>
        </w:rPr>
        <w:t>万元兴农助农，推进脱贫攻坚和乡村振兴的有效衔接。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社会化保障水平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和就业方面支出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 w:bidi="ar"/>
        </w:rPr>
        <w:t>13235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bidi="ar"/>
        </w:rPr>
        <w:t>万元</w:t>
      </w:r>
      <w:r>
        <w:rPr>
          <w:rFonts w:hint="eastAsia" w:ascii="仿宋" w:hAnsi="仿宋" w:eastAsia="仿宋" w:cs="仿宋"/>
          <w:sz w:val="30"/>
          <w:szCs w:val="30"/>
          <w:lang w:bidi="ar"/>
        </w:rPr>
        <w:t>，支持完善机关事业单位基本养老保险、城乡居民基本养老保险制，提高待遇水平；支持城乡社会化救助体系，完善最低生活保障制度；支持养老服务业发展，提升困难退役军人服务保障水平。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  <w:lang w:bidi="ar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教育优质均衡发展和文化体育事业发展支出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25800</w:t>
      </w:r>
      <w:r>
        <w:rPr>
          <w:rFonts w:hint="eastAsia" w:ascii="仿宋" w:hAnsi="仿宋" w:eastAsia="仿宋" w:cs="仿宋"/>
          <w:sz w:val="30"/>
          <w:szCs w:val="30"/>
        </w:rPr>
        <w:t>万元，新建公办幼儿园及扶持普惠性民办幼儿园，有效缓解了“入园难”“入园贵”；推动城乡义务教育标准化建设，缩小城乡差距，达到均衡发展的目标；改扩建高中学校，适应新高考的要求；有效促进校企融合发展，支持构建普通高中与中等职业教育协调发展；投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167</w:t>
      </w:r>
      <w:r>
        <w:rPr>
          <w:rFonts w:hint="eastAsia" w:ascii="仿宋" w:hAnsi="仿宋" w:eastAsia="仿宋" w:cs="仿宋"/>
          <w:sz w:val="30"/>
          <w:szCs w:val="30"/>
        </w:rPr>
        <w:t>万元，繁荣我区文化建设，支持遂宁街头文化活动，营造全民健身的积极氛围，提升全区文化底蕴。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共建共享公共卫生体系支出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7852</w:t>
      </w:r>
      <w:r>
        <w:rPr>
          <w:rFonts w:hint="eastAsia" w:ascii="仿宋" w:hAnsi="仿宋" w:eastAsia="仿宋" w:cs="仿宋"/>
          <w:sz w:val="30"/>
          <w:szCs w:val="30"/>
        </w:rPr>
        <w:t>万元，落实城乡居民基本医疗保险财政补助政策；支持实施基本医疗公共卫生服务，提高城乡医疗服务整体水平，巩固基层医疗卫生机构和村卫生室全面实施国家基本药物制度成果；向符合条件的计划生育家庭夫妻足额发放奖励扶助金，实施计划生育特殊家庭扶助关怀政策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全面保障落实</w:t>
      </w:r>
      <w:r>
        <w:rPr>
          <w:rFonts w:hint="eastAsia" w:ascii="仿宋" w:hAnsi="仿宋" w:eastAsia="仿宋" w:cs="仿宋"/>
          <w:sz w:val="30"/>
          <w:szCs w:val="30"/>
        </w:rPr>
        <w:t>疫情防控经费，建立疫情防控常态化机制。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城乡综合环境卫生治理方面支出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58421</w:t>
      </w:r>
      <w:r>
        <w:rPr>
          <w:rFonts w:hint="eastAsia" w:ascii="仿宋" w:hAnsi="仿宋" w:eastAsia="仿宋" w:cs="仿宋"/>
          <w:sz w:val="30"/>
          <w:szCs w:val="30"/>
        </w:rPr>
        <w:t>万元。积极推进城乡社区基础设施建设和环境提升，大力支持产业新城（PPP）建设项目投资运营，足额保障辖区内城市市政维护管理，确保城市市政设施维护、绿化、路灯养护及城乡保洁、垃圾清运工作正常运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default" w:ascii="仿宋" w:hAnsi="仿宋" w:eastAsia="仿宋" w:cs="仿宋"/>
          <w:b/>
          <w:bCs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  <w:lang w:val="en-US" w:eastAsia="zh-CN"/>
        </w:rPr>
        <w:t>6、生态环保方面支出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shd w:val="clear" w:color="auto" w:fill="FFFFFF"/>
          <w:lang w:val="en-US" w:eastAsia="zh-CN"/>
        </w:rPr>
        <w:t>3571万元。实施大气污染综合整治，支持深入实施农村人居环境综合治理，重点抓好农村垃圾治理、污水处理和农村“厕所革命”；支持城乡基层治理。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</w:rPr>
        <w:t>7、中小微企业发展和创新创业</w:t>
      </w:r>
      <w:r>
        <w:rPr>
          <w:rFonts w:hint="eastAsia" w:ascii="仿宋" w:hAnsi="仿宋" w:eastAsia="仿宋" w:cs="仿宋"/>
          <w:b/>
          <w:bCs/>
          <w:sz w:val="30"/>
          <w:szCs w:val="30"/>
          <w:shd w:val="clear" w:color="auto" w:fill="FFFFFF"/>
          <w:lang w:val="en-US" w:eastAsia="zh-CN"/>
        </w:rPr>
        <w:t>支出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8648</w:t>
      </w:r>
      <w:r>
        <w:rPr>
          <w:rFonts w:hint="eastAsia" w:ascii="仿宋" w:hAnsi="仿宋" w:eastAsia="仿宋" w:cs="仿宋"/>
          <w:bCs/>
          <w:sz w:val="30"/>
          <w:szCs w:val="30"/>
        </w:rPr>
        <w:t>万元，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支持科技创新提升行动，推进科技创新、产业创新、管理创新、制度创新，支持创新人才引进，建成大中小融通型双创特色示范基地；支持中小微企业结构调整和产业升级，提升自主创新和市场开拓能力，加强财政金融互动，支持创新创业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200" w:afterAutospacing="0" w:line="560" w:lineRule="atLeast"/>
        <w:ind w:left="0" w:right="0" w:firstLine="64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需要说明的是，以上重点方面的财政投入统计，部分项目存在归类口径交叉。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200" w:afterAutospacing="0" w:line="560" w:lineRule="atLeast"/>
        <w:ind w:left="0" w:right="0" w:firstLine="640"/>
        <w:jc w:val="left"/>
        <w:rPr>
          <w:rFonts w:hint="eastAsia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在肯定成绩的同时，我们也清醒地认识到，当前财政运行和财政工作中还存在一些问题和不足：经济下行压力较大，财政收入质量不高，税收结构性矛盾亟待化解；民生保障、债务还本付息等刚性支出只增不减，收支矛盾较为突出，财政可持续发展面临挑战；一些领域资金的投入方式和使用绩效亟需改善；政府性债务和融资管理不断规范，防范和化解财政风险的任务十分艰巨等等。对于这些问题，我们将认真听取各位领导的建议意见，采取有效措施逐步加以解决。</w:t>
      </w:r>
    </w:p>
    <w:p>
      <w:pPr>
        <w:spacing w:line="6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三、下一步工作计划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（一）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加强</w:t>
      </w:r>
      <w:r>
        <w:rPr>
          <w:rFonts w:hint="eastAsia" w:ascii="仿宋" w:hAnsi="仿宋" w:eastAsia="仿宋" w:cs="仿宋"/>
          <w:b/>
          <w:sz w:val="30"/>
          <w:szCs w:val="30"/>
        </w:rPr>
        <w:t>收入管理，确保完成全年收入目标。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确保全年收入任务的完成是做好财政决算的保证。2024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年，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加强财税部门协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作配合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加大对重点行业、重大项目、重点税源管理力度，努力挖潜增收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二是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 w:bidi="ar-SA"/>
        </w:rPr>
        <w:t>加强砂石收入征管，增加非税收入渠道。三是</w:t>
      </w:r>
      <w:r>
        <w:rPr>
          <w:rFonts w:hint="eastAsia" w:ascii="仿宋" w:hAnsi="仿宋" w:eastAsia="仿宋" w:cs="仿宋"/>
          <w:sz w:val="30"/>
          <w:szCs w:val="30"/>
        </w:rPr>
        <w:t>加大对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存量安置房的处置，不仅可收回部分资金还可以降低过渡费。四是按照“时间过半，任务过半”的原则，对非税各执收部门进行考核。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800" w:leftChars="0" w:firstLine="0" w:firstLineChars="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严格“三保”支出，切实兜牢支出底线。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严格执行“三单列三专项”工作落实，严格按照“保工资、保运转、保基本民生”的保障序列，优先足额保障“三保”支出，确保“三保”资金安全精准使用。实施专项监控，形成定期报告制度，按月调度分析全区”三保”支出保障情况，加强对“三保”支出的风险隐患排查和研判，确保本年“三保”预算支出应支尽支。</w:t>
      </w:r>
    </w:p>
    <w:p>
      <w:pPr>
        <w:spacing w:line="600" w:lineRule="exact"/>
        <w:ind w:firstLine="602" w:firstLineChars="200"/>
        <w:rPr>
          <w:rFonts w:hint="eastAsia" w:ascii="仿宋" w:hAnsi="仿宋" w:eastAsia="仿宋" w:cs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（三）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落实审计结论，确保财政决算的真实性和合法性</w:t>
      </w:r>
    </w:p>
    <w:p>
      <w:pPr>
        <w:pStyle w:val="5"/>
        <w:spacing w:beforeAutospacing="0" w:afterAutospacing="0" w:line="600" w:lineRule="exact"/>
        <w:ind w:firstLine="543" w:firstLineChars="181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确保财政决算的合法性，真实地反映全市财政经济发展状况，我们决定在2023年从两个方面对预算执行全过程进行审查：首先从落实2022年审计结论方面进行检查，对审计中明确需要进行调账和处理的问题，逐项进行再审查，保证审计提出的结论全部落实到位；另外从2023年预算执行方面进行审查，对查出的违纪问题及时进行调整或更正处理，最终使我区2023年财政决算更合法、更真实。</w:t>
      </w:r>
    </w:p>
    <w:p>
      <w:pPr>
        <w:wordWrap w:val="0"/>
        <w:spacing w:line="460" w:lineRule="exact"/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wordWrap w:val="0"/>
        <w:spacing w:line="460" w:lineRule="exact"/>
        <w:jc w:val="right"/>
        <w:rPr>
          <w:rFonts w:eastAsia="仿宋_GB2312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right"/>
      <w:rPr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F40B3"/>
    <w:multiLevelType w:val="singleLevel"/>
    <w:tmpl w:val="64CF40B3"/>
    <w:lvl w:ilvl="0" w:tentative="0">
      <w:start w:val="2"/>
      <w:numFmt w:val="chineseCounting"/>
      <w:suff w:val="nothing"/>
      <w:lvlText w:val="（%1）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RlOGFmZTllN2JjNDA5ZmFiY2MyMDM1ZjcwZGQ0NWUifQ=="/>
  </w:docVars>
  <w:rsids>
    <w:rsidRoot w:val="00AE5472"/>
    <w:rsid w:val="00057251"/>
    <w:rsid w:val="00120D15"/>
    <w:rsid w:val="003955B7"/>
    <w:rsid w:val="00481EED"/>
    <w:rsid w:val="005D5481"/>
    <w:rsid w:val="006F65BC"/>
    <w:rsid w:val="00993D86"/>
    <w:rsid w:val="00AE5472"/>
    <w:rsid w:val="00B024EB"/>
    <w:rsid w:val="00B85328"/>
    <w:rsid w:val="00D50389"/>
    <w:rsid w:val="0D5F2AD3"/>
    <w:rsid w:val="0E1C7004"/>
    <w:rsid w:val="0EFA719B"/>
    <w:rsid w:val="16054AFB"/>
    <w:rsid w:val="161825D2"/>
    <w:rsid w:val="17DC4C4C"/>
    <w:rsid w:val="18A70640"/>
    <w:rsid w:val="19000745"/>
    <w:rsid w:val="19891DBA"/>
    <w:rsid w:val="1AFE6861"/>
    <w:rsid w:val="1C8A5E73"/>
    <w:rsid w:val="1D164649"/>
    <w:rsid w:val="1D3C6FEB"/>
    <w:rsid w:val="1E61201A"/>
    <w:rsid w:val="1E871DF7"/>
    <w:rsid w:val="1F501F5F"/>
    <w:rsid w:val="28963B21"/>
    <w:rsid w:val="2B511D4C"/>
    <w:rsid w:val="2D144CEB"/>
    <w:rsid w:val="2DC95C23"/>
    <w:rsid w:val="30380908"/>
    <w:rsid w:val="30860F6A"/>
    <w:rsid w:val="313444C3"/>
    <w:rsid w:val="32A001FB"/>
    <w:rsid w:val="38C62398"/>
    <w:rsid w:val="3AB42876"/>
    <w:rsid w:val="3ACF2344"/>
    <w:rsid w:val="3EE95ACB"/>
    <w:rsid w:val="40AE6E07"/>
    <w:rsid w:val="40B60597"/>
    <w:rsid w:val="44184530"/>
    <w:rsid w:val="4664131A"/>
    <w:rsid w:val="484A3903"/>
    <w:rsid w:val="4BC31DBF"/>
    <w:rsid w:val="4F0C429E"/>
    <w:rsid w:val="51B64EEE"/>
    <w:rsid w:val="51EF287D"/>
    <w:rsid w:val="5C065209"/>
    <w:rsid w:val="5C1A229E"/>
    <w:rsid w:val="5F135E95"/>
    <w:rsid w:val="5F484AF6"/>
    <w:rsid w:val="601C30A7"/>
    <w:rsid w:val="614D310B"/>
    <w:rsid w:val="62BF52E2"/>
    <w:rsid w:val="6E585E33"/>
    <w:rsid w:val="70680DE4"/>
    <w:rsid w:val="73500BAE"/>
    <w:rsid w:val="79334E57"/>
    <w:rsid w:val="79E5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章标题"/>
    <w:basedOn w:val="1"/>
    <w:next w:val="1"/>
    <w:qFormat/>
    <w:uiPriority w:val="99"/>
    <w:pPr>
      <w:spacing w:before="158" w:after="153" w:line="323" w:lineRule="atLeast"/>
      <w:ind w:right="-120"/>
      <w:jc w:val="center"/>
      <w:textAlignment w:val="baseline"/>
    </w:pPr>
    <w:rPr>
      <w:color w:val="FF0000"/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page number"/>
    <w:basedOn w:val="7"/>
    <w:unhideWhenUsed/>
    <w:uiPriority w:val="0"/>
  </w:style>
  <w:style w:type="paragraph" w:customStyle="1" w:styleId="9">
    <w:name w:val="常用样式（方正仿宋简）"/>
    <w:basedOn w:val="1"/>
    <w:next w:val="1"/>
    <w:qFormat/>
    <w:uiPriority w:val="0"/>
    <w:pPr>
      <w:spacing w:line="560" w:lineRule="exact"/>
      <w:ind w:firstLine="640" w:firstLineChars="200"/>
    </w:pPr>
    <w:rPr>
      <w:rFonts w:eastAsia="方正仿宋简体"/>
      <w:sz w:val="32"/>
    </w:rPr>
  </w:style>
  <w:style w:type="character" w:customStyle="1" w:styleId="10">
    <w:name w:val="style171"/>
    <w:basedOn w:val="7"/>
    <w:qFormat/>
    <w:uiPriority w:val="0"/>
    <w:rPr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2721</Words>
  <Characters>3020</Characters>
  <Lines>2</Lines>
  <Paragraphs>6</Paragraphs>
  <TotalTime>74</TotalTime>
  <ScaleCrop>false</ScaleCrop>
  <LinksUpToDate>false</LinksUpToDate>
  <CharactersWithSpaces>3022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2021-08-16T08:40:00Z</dcterms:created>
  <dc:creator>LENOVO</dc:creator>
  <cp:lastModifiedBy>语</cp:lastModifiedBy>
  <dcterms:modified xsi:type="dcterms:W3CDTF">2023-08-21T02:14:00Z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A7652103ACC34C9B9255B195EBF6871A_12</vt:lpwstr>
  </property>
</Properties>
</file>