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93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before="130" w:line="551" w:lineRule="exact"/>
        <w:ind w:left="400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1"/>
          <w:position w:val="2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2022</w:t>
      </w:r>
      <w:r>
        <w:rPr>
          <w:rFonts w:ascii="宋体" w:hAnsi="宋体" w:eastAsia="宋体" w:cs="宋体"/>
          <w:spacing w:val="-84"/>
          <w:position w:val="2"/>
          <w:sz w:val="40"/>
          <w:szCs w:val="40"/>
        </w:rPr>
        <w:t xml:space="preserve"> </w:t>
      </w:r>
      <w:r>
        <w:rPr>
          <w:rFonts w:ascii="宋体" w:hAnsi="宋体" w:eastAsia="宋体" w:cs="宋体"/>
          <w:spacing w:val="-1"/>
          <w:position w:val="2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年</w:t>
      </w:r>
      <w:r>
        <w:rPr>
          <w:rFonts w:hint="eastAsia" w:ascii="宋体" w:hAnsi="宋体" w:eastAsia="宋体" w:cs="宋体"/>
          <w:spacing w:val="-1"/>
          <w:position w:val="2"/>
          <w:sz w:val="40"/>
          <w:szCs w:val="40"/>
          <w:lang w:val="en-US"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遂宁经开区</w:t>
      </w:r>
      <w:r>
        <w:rPr>
          <w:rFonts w:ascii="宋体" w:hAnsi="宋体" w:eastAsia="宋体" w:cs="宋体"/>
          <w:spacing w:val="-1"/>
          <w:position w:val="2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重大投资项目情况的说明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b w:val="0"/>
          <w:bCs w:val="0"/>
          <w:sz w:val="21"/>
        </w:rPr>
      </w:pPr>
    </w:p>
    <w:p>
      <w:pPr>
        <w:spacing w:before="182" w:line="521" w:lineRule="exact"/>
        <w:ind w:firstLine="918" w:firstLineChars="300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pacing w:val="-7"/>
          <w:position w:val="18"/>
          <w:sz w:val="32"/>
          <w:szCs w:val="32"/>
          <w:highlight w:val="none"/>
          <w:lang w:val="en-US" w:eastAsia="zh-CN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  <w:t>一、</w:t>
      </w:r>
      <w:r>
        <w:rPr>
          <w:rFonts w:hint="eastAsia" w:ascii="楷体" w:hAnsi="楷体" w:eastAsia="楷体" w:cs="楷体"/>
          <w:b w:val="0"/>
          <w:bCs w:val="0"/>
          <w:spacing w:val="-7"/>
          <w:position w:val="18"/>
          <w:sz w:val="32"/>
          <w:szCs w:val="32"/>
          <w:highlight w:val="none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  <w:t>清净寺</w:t>
      </w:r>
      <w:r>
        <w:rPr>
          <w:rFonts w:hint="eastAsia" w:ascii="楷体" w:hAnsi="楷体" w:eastAsia="楷体" w:cs="楷体"/>
          <w:b w:val="0"/>
          <w:bCs w:val="0"/>
          <w:spacing w:val="-7"/>
          <w:position w:val="18"/>
          <w:sz w:val="32"/>
          <w:szCs w:val="32"/>
          <w:highlight w:val="none"/>
          <w:lang w:val="en-US" w:eastAsia="zh-CN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  <w:t>棚户区改造</w:t>
      </w:r>
      <w:r>
        <w:rPr>
          <w:rFonts w:hint="eastAsia" w:ascii="楷体" w:hAnsi="楷体" w:eastAsia="楷体" w:cs="楷体"/>
          <w:b w:val="0"/>
          <w:bCs w:val="0"/>
          <w:spacing w:val="-7"/>
          <w:position w:val="18"/>
          <w:sz w:val="32"/>
          <w:szCs w:val="32"/>
          <w:highlight w:val="none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  <w:t>项目</w:t>
      </w:r>
    </w:p>
    <w:p>
      <w:pPr>
        <w:pStyle w:val="2"/>
        <w:spacing w:before="1" w:line="217" w:lineRule="auto"/>
        <w:ind w:left="573"/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ascii="Times New Roman" w:hAnsi="Times New Roman" w:eastAsia="Times New Roman" w:cs="Times New Roman"/>
          <w:b/>
          <w:bCs/>
          <w:spacing w:val="-3"/>
          <w:highlight w:val="none"/>
        </w:rPr>
        <w:t>1.</w:t>
      </w:r>
      <w:r>
        <w:rPr>
          <w:spacing w:val="-3"/>
          <w:highlight w:val="none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  <w:t>项目概况</w:t>
      </w:r>
    </w:p>
    <w:p>
      <w:pPr>
        <w:widowControl/>
        <w:ind w:firstLine="560" w:firstLineChars="200"/>
        <w:jc w:val="left"/>
        <w:rPr>
          <w:rFonts w:hint="eastAsia" w:ascii="仿宋" w:hAnsi="仿宋" w:eastAsia="仿宋" w:cs="仿宋"/>
          <w:spacing w:val="-4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28"/>
          <w:szCs w:val="28"/>
          <w:highlight w:val="none"/>
          <w:u w:val="none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  <w:t>清净寺棚户区改造项目位于机场中路以南、光明路以东，项目占地约126亩，容积率3.1，总建筑面积为33.7万平方米（含住宅241908.1平方米，商业及配套22301.71平方米，地下室73486.76平方米），共2405套住房，采用EPC方式招标，合同总价为9.97亿元。项目于2020年11月开工，计划2023年12月完工，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</w:t>
      </w:r>
      <w:r>
        <w:rPr>
          <w:rFonts w:hint="eastAsia" w:ascii="仿宋" w:hAnsi="仿宋" w:eastAsia="仿宋" w:cs="仿宋"/>
          <w:spacing w:val="-4"/>
          <w:sz w:val="30"/>
          <w:szCs w:val="30"/>
          <w:highlight w:val="none"/>
        </w:rPr>
        <w:t>项目总投资</w:t>
      </w:r>
      <w:r>
        <w:rPr>
          <w:rFonts w:hint="eastAsia" w:ascii="仿宋" w:hAnsi="仿宋" w:eastAsia="仿宋" w:cs="仿宋"/>
          <w:spacing w:val="-51"/>
          <w:sz w:val="30"/>
          <w:szCs w:val="30"/>
          <w:highlight w:val="none"/>
        </w:rPr>
        <w:t xml:space="preserve"> </w:t>
      </w:r>
      <w:r>
        <w:rPr>
          <w:rFonts w:hint="eastAsia" w:ascii="仿宋" w:hAnsi="仿宋" w:eastAsia="仿宋" w:cs="仿宋"/>
          <w:spacing w:val="-4"/>
          <w:sz w:val="30"/>
          <w:szCs w:val="30"/>
          <w:highlight w:val="none"/>
        </w:rPr>
        <w:t>125310.51</w:t>
      </w:r>
      <w:r>
        <w:rPr>
          <w:rFonts w:hint="eastAsia" w:ascii="仿宋" w:hAnsi="仿宋" w:eastAsia="仿宋" w:cs="仿宋"/>
          <w:spacing w:val="25"/>
          <w:sz w:val="30"/>
          <w:szCs w:val="30"/>
          <w:highlight w:val="none"/>
        </w:rPr>
        <w:t xml:space="preserve"> </w:t>
      </w:r>
      <w:r>
        <w:rPr>
          <w:rFonts w:hint="eastAsia" w:ascii="仿宋" w:hAnsi="仿宋" w:eastAsia="仿宋" w:cs="仿宋"/>
          <w:spacing w:val="-4"/>
          <w:sz w:val="30"/>
          <w:szCs w:val="30"/>
          <w:highlight w:val="none"/>
        </w:rPr>
        <w:t>万元</w:t>
      </w:r>
      <w:r>
        <w:rPr>
          <w:rFonts w:hint="eastAsia" w:ascii="仿宋" w:hAnsi="仿宋" w:eastAsia="仿宋" w:cs="仿宋"/>
          <w:spacing w:val="-4"/>
          <w:sz w:val="30"/>
          <w:szCs w:val="30"/>
          <w:highlight w:val="none"/>
          <w:lang w:eastAsia="zh-CN"/>
        </w:rPr>
        <w:t>。</w:t>
      </w:r>
    </w:p>
    <w:p>
      <w:pPr>
        <w:pStyle w:val="2"/>
        <w:spacing w:before="1" w:line="217" w:lineRule="auto"/>
        <w:ind w:left="573"/>
        <w:rPr>
          <w:spacing w:val="-3"/>
          <w:highlight w:val="none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spacing w:val="-3"/>
          <w:highlight w:val="none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  <w:t>2.进展情况</w:t>
      </w:r>
    </w:p>
    <w:p>
      <w:pPr>
        <w:pStyle w:val="2"/>
        <w:spacing w:before="189" w:line="343" w:lineRule="auto"/>
        <w:ind w:right="6" w:firstLine="600" w:firstLineChars="200"/>
        <w:jc w:val="both"/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  <w:t>1</w:t>
      </w:r>
      <w:r>
        <w:rPr>
          <w:rFonts w:hint="eastAsia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  <w:t>-</w:t>
      </w:r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  <w:t>12月，完成投资27355万元，累计完成投资 70000万元，占总投资的 55.86%。基础结构完成100%，主体结构完成95%，装饰装修完成45%，道路及总平完成20%，设备安装完成60%。</w:t>
      </w:r>
    </w:p>
    <w:p>
      <w:pPr>
        <w:pStyle w:val="2"/>
        <w:spacing w:before="1" w:line="217" w:lineRule="auto"/>
        <w:ind w:left="573"/>
        <w:rPr>
          <w:rFonts w:hint="default"/>
          <w:spacing w:val="-3"/>
          <w:highlight w:val="none"/>
          <w:lang w:val="en-US" w:eastAsia="zh-CN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/>
          <w:spacing w:val="-3"/>
          <w:highlight w:val="none"/>
          <w:lang w:val="en-US" w:eastAsia="zh-CN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  <w:t>3.2022年资金安排计划</w:t>
      </w:r>
    </w:p>
    <w:p>
      <w:pPr>
        <w:pStyle w:val="2"/>
        <w:spacing w:before="189" w:line="343" w:lineRule="auto"/>
        <w:ind w:right="6" w:firstLine="600" w:firstLineChars="200"/>
        <w:jc w:val="both"/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  <w:t>截止2022年12月底，已安排专项债券资金70000万元，其中，2022年</w:t>
      </w:r>
      <w:r>
        <w:rPr>
          <w:rFonts w:hint="eastAsia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  <w:t>安排</w:t>
      </w:r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  <w:t>27355万元。</w:t>
      </w:r>
    </w:p>
    <w:p>
      <w:pPr>
        <w:spacing w:before="182" w:line="521" w:lineRule="exact"/>
        <w:ind w:firstLine="918" w:firstLineChars="300"/>
        <w:rPr>
          <w:rFonts w:hint="eastAsia" w:ascii="楷体" w:hAnsi="楷体" w:eastAsia="楷体" w:cs="楷体"/>
          <w:b w:val="0"/>
          <w:bCs w:val="0"/>
          <w:spacing w:val="-7"/>
          <w:position w:val="18"/>
          <w:sz w:val="32"/>
          <w:szCs w:val="32"/>
          <w:highlight w:val="none"/>
          <w:lang w:val="en-US" w:eastAsia="zh-CN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楷体" w:hAnsi="楷体" w:eastAsia="楷体" w:cs="楷体"/>
          <w:b w:val="0"/>
          <w:bCs w:val="0"/>
          <w:spacing w:val="-7"/>
          <w:position w:val="18"/>
          <w:sz w:val="32"/>
          <w:szCs w:val="32"/>
          <w:highlight w:val="none"/>
          <w:lang w:val="en-US" w:eastAsia="zh-CN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  <w:t>二、遂宁经济技术开发区锦华片区棚户区改造项目（一期）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44" w:lineRule="auto"/>
        <w:ind w:firstLine="548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highlight w:val="none"/>
          <w:lang w:val="en-US" w:eastAsia="zh-CN" w:bidi="ar-SA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highlight w:val="none"/>
          <w:lang w:val="en-US" w:eastAsia="zh-CN" w:bidi="ar-SA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  <w:t>1.项目概况</w:t>
      </w:r>
    </w:p>
    <w:p>
      <w:pPr>
        <w:pStyle w:val="2"/>
        <w:spacing w:before="189" w:line="343" w:lineRule="auto"/>
        <w:ind w:right="6" w:firstLine="600" w:firstLineChars="200"/>
        <w:jc w:val="both"/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  <w:t>项目总用地面积26058㎡（合39.09亩），总建筑面积105000㎡（含地上建筑面积57328㎡，地下建筑47673㎡），其中，住宅面积47773㎡，公共及配套设施建筑面积9555㎡，地下建筑47673㎡（主要为地下车库及设备用房），共新建住房955套。棚户区改造范围内居民集中安置的住宅及公共配套设施、配套道路工程、给排水管网工程、供电工程、绿化工程、环卫、停车位等配套设施建设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44" w:lineRule="auto"/>
        <w:ind w:firstLine="548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highlight w:val="none"/>
          <w:lang w:val="en-US" w:eastAsia="zh-CN" w:bidi="ar-SA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highlight w:val="none"/>
          <w:lang w:val="en-US" w:eastAsia="zh-CN" w:bidi="ar-SA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  <w:t>2.进展情况</w:t>
      </w:r>
    </w:p>
    <w:p>
      <w:pPr>
        <w:pStyle w:val="2"/>
        <w:spacing w:before="189" w:line="343" w:lineRule="auto"/>
        <w:ind w:right="6" w:firstLine="600" w:firstLineChars="200"/>
        <w:jc w:val="both"/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  <w:t>1-12月，完成投资8100万元，累计完成投资8100万元，占总投资的18.33%。截止2022年底，该项目已完成施工（EPC模式）招标，地勘已完成，深基坑专项施工方案已完成专家论证，施工总组织设计正在报审中，正在进行降水井、护壁桩完施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44" w:lineRule="auto"/>
        <w:ind w:firstLine="548" w:firstLineChars="200"/>
        <w:jc w:val="left"/>
        <w:textAlignment w:val="baseline"/>
        <w:rPr>
          <w:rFonts w:hint="default"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highlight w:val="none"/>
          <w:lang w:val="en-US" w:eastAsia="zh-CN" w:bidi="ar-SA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highlight w:val="none"/>
          <w:lang w:val="en-US" w:eastAsia="zh-CN" w:bidi="ar-SA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  <w:t>3.2022年资金安排计划</w:t>
      </w:r>
    </w:p>
    <w:p>
      <w:pPr>
        <w:pStyle w:val="2"/>
        <w:spacing w:before="189" w:line="343" w:lineRule="auto"/>
        <w:ind w:right="6" w:firstLine="600" w:firstLineChars="200"/>
        <w:jc w:val="both"/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  <w:t>截止2022年12月底，已安排专项债券资金</w:t>
      </w:r>
      <w:r>
        <w:rPr>
          <w:rFonts w:hint="eastAsia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  <w:t>8100</w:t>
      </w:r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  <w:t>万元</w:t>
      </w:r>
      <w:r>
        <w:rPr>
          <w:rFonts w:hint="eastAsia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  <w:t>，其中2022年安排8100万元</w:t>
      </w:r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  <w:t>。</w:t>
      </w:r>
    </w:p>
    <w:p>
      <w:pPr>
        <w:spacing w:before="182" w:line="521" w:lineRule="exact"/>
        <w:ind w:firstLine="918" w:firstLineChars="300"/>
        <w:rPr>
          <w:rFonts w:hint="eastAsia" w:ascii="楷体" w:hAnsi="楷体" w:eastAsia="楷体" w:cs="楷体"/>
          <w:b w:val="0"/>
          <w:bCs w:val="0"/>
          <w:spacing w:val="-7"/>
          <w:position w:val="18"/>
          <w:sz w:val="32"/>
          <w:szCs w:val="32"/>
          <w:highlight w:val="none"/>
          <w:lang w:val="en-US" w:eastAsia="zh-CN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楷体" w:hAnsi="楷体" w:eastAsia="楷体" w:cs="楷体"/>
          <w:b w:val="0"/>
          <w:bCs w:val="0"/>
          <w:spacing w:val="-7"/>
          <w:position w:val="18"/>
          <w:sz w:val="32"/>
          <w:szCs w:val="32"/>
          <w:highlight w:val="none"/>
          <w:lang w:val="en-US" w:eastAsia="zh-CN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  <w:t>三、遂宁经济技术开发区智能科技创新创业产业园建设项目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44" w:lineRule="auto"/>
        <w:ind w:firstLine="1096" w:firstLineChars="4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highlight w:val="none"/>
          <w:lang w:val="en-US" w:eastAsia="zh-CN" w:bidi="ar-SA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highlight w:val="none"/>
          <w:lang w:val="en-US" w:eastAsia="zh-CN" w:bidi="ar-SA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  <w:t>1.项目概况</w:t>
      </w:r>
    </w:p>
    <w:p>
      <w:pPr>
        <w:spacing w:before="192" w:line="216" w:lineRule="auto"/>
        <w:ind w:left="552" w:firstLine="600" w:firstLineChars="200"/>
        <w:rPr>
          <w:rFonts w:hint="eastAsia"/>
          <w:spacing w:val="-3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en-US" w:bidi="ar"/>
        </w:rPr>
        <w:t>总用地面积约138亩，总建筑面积264300平方米。其中:地上建筑面积194300平方米，地下建筑面积70000平方米。地上建筑主要建设:标准厂房148000平方米、管理用房4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en-US" w:bidi="ar"/>
        </w:rPr>
        <w:t>500平方米、倒班房5400平方米、食堂600平方米、创新创业孵化中心20000平方米、公共配套建筑2000平方米、项目区内景观绿化、道路及配套附属设施等;地下建筑主要为地下车库及配套设施。本项目总投资估算约为145000万元，其中:建安工程费106927万元，工程建设其他费8855万元，预备费11578万元，建设期利息17640万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44" w:lineRule="auto"/>
        <w:ind w:firstLine="1096" w:firstLineChars="4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highlight w:val="none"/>
          <w:lang w:val="en-US" w:eastAsia="zh-CN" w:bidi="ar-SA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highlight w:val="none"/>
          <w:lang w:val="en-US" w:eastAsia="zh-CN" w:bidi="ar-SA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  <w:t>2.进展情况</w:t>
      </w:r>
    </w:p>
    <w:p>
      <w:pPr>
        <w:spacing w:before="192" w:line="216" w:lineRule="auto"/>
        <w:ind w:left="552" w:firstLine="600" w:firstLineChars="200"/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en-US" w:bidi="ar"/>
        </w:rPr>
      </w:pPr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en-US" w:bidi="ar"/>
        </w:rPr>
        <w:t>目前所有主体工程已完成80%，装饰装修已完成50%，安装工程完成50%</w:t>
      </w:r>
    </w:p>
    <w:p>
      <w:pPr>
        <w:spacing w:before="189" w:line="215" w:lineRule="auto"/>
        <w:ind w:left="552" w:firstLine="562" w:firstLineChars="200"/>
        <w:rPr>
          <w:rFonts w:ascii="楷体" w:hAnsi="楷体" w:eastAsia="楷体" w:cs="楷体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3.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2022 </w:t>
      </w:r>
      <w:r>
        <w:rPr>
          <w:rFonts w:ascii="楷体" w:hAnsi="楷体" w:eastAsia="楷体" w:cs="楷体"/>
          <w:sz w:val="28"/>
          <w:szCs w:val="28"/>
          <w14:textOutline w14:w="5103" w14:cap="flat" w14:cmpd="sng">
            <w14:solidFill>
              <w14:srgbClr w14:val="000000"/>
            </w14:solidFill>
            <w14:prstDash w14:val="solid"/>
            <w14:miter w14:val="0"/>
          </w14:textOutline>
        </w:rPr>
        <w:t>年资金安排计划</w:t>
      </w:r>
    </w:p>
    <w:p>
      <w:pPr>
        <w:spacing w:before="192" w:line="216" w:lineRule="auto"/>
        <w:ind w:left="552" w:firstLine="600" w:firstLineChars="200"/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en-US" w:bidi="ar"/>
        </w:rPr>
        <w:t>截至 2022年12月底，已安排</w:t>
      </w:r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  <w:t>地方政府专项债20</w:t>
      </w:r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en-US" w:bidi="ar"/>
        </w:rPr>
        <w:t>000万元</w:t>
      </w:r>
      <w:r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zh-CN" w:bidi="ar"/>
        </w:rPr>
        <w:t>，其中2022年安排20000万元。</w:t>
      </w:r>
    </w:p>
    <w:p>
      <w:pPr>
        <w:spacing w:before="192" w:line="216" w:lineRule="auto"/>
        <w:ind w:left="552" w:firstLine="600" w:firstLineChars="200"/>
        <w:rPr>
          <w:rFonts w:hint="eastAsia" w:ascii="仿宋" w:hAnsi="仿宋" w:eastAsia="仿宋" w:cs="仿宋"/>
          <w:i w:val="0"/>
          <w:caps w:val="0"/>
          <w:snapToGrid w:val="0"/>
          <w:color w:val="000000"/>
          <w:spacing w:val="0"/>
          <w:kern w:val="0"/>
          <w:sz w:val="30"/>
          <w:szCs w:val="30"/>
          <w:highlight w:val="none"/>
          <w:u w:val="none"/>
          <w:lang w:val="en-US" w:eastAsia="en-US" w:bidi="ar"/>
        </w:rPr>
      </w:pPr>
    </w:p>
    <w:p>
      <w:pPr>
        <w:pStyle w:val="2"/>
        <w:spacing w:before="1" w:line="217" w:lineRule="auto"/>
        <w:ind w:left="39"/>
      </w:pPr>
    </w:p>
    <w:sectPr>
      <w:pgSz w:w="11906" w:h="16838"/>
      <w:pgMar w:top="1431" w:right="1409" w:bottom="0" w:left="159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BreakWrappedTables/>
    <w:doNotWrapTextWithPunct/>
    <w:doNotUseEastAsianBreakRules/>
    <w:useFELayout/>
    <w:compatSetting w:name="compatibilityMode" w:uri="http://schemas.microsoft.com/office/word" w:val="14"/>
  </w:compat>
  <w:docVars>
    <w:docVar w:name="commondata" w:val="eyJoZGlkIjoiMTBkOTA1ZmI0NTZhNmU5ZGE3MTcyYzA3Y2VmN2Q2ZWQifQ=="/>
  </w:docVars>
  <w:rsids>
    <w:rsidRoot w:val="00000000"/>
    <w:rsid w:val="01A142BB"/>
    <w:rsid w:val="0B613320"/>
    <w:rsid w:val="234401B4"/>
    <w:rsid w:val="52B42AB5"/>
    <w:rsid w:val="749B178D"/>
    <w:rsid w:val="779F55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916</Words>
  <Characters>1164</Characters>
  <Lines>0</Lines>
  <Paragraphs>0</Paragraphs>
  <TotalTime>19</TotalTime>
  <ScaleCrop>false</ScaleCrop>
  <LinksUpToDate>false</LinksUpToDate>
  <CharactersWithSpaces>1185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2023-08-17T14:46:00Z</dcterms:created>
  <dc:creator>LENOVO</dc:creator>
  <cp:lastModifiedBy>啊俏俏俏俏俏</cp:lastModifiedBy>
  <dcterms:modified xsi:type="dcterms:W3CDTF">2023-08-18T02:36:46Z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2023-08-15T10:16:00Z</vt:filetime>
  </property>
  <property fmtid="{D5CDD505-2E9C-101B-9397-08002B2CF9AE}" pid="4" name="KSOProductBuildVer">
    <vt:lpwstr>2052-12.1.0.15120</vt:lpwstr>
  </property>
  <property fmtid="{D5CDD505-2E9C-101B-9397-08002B2CF9AE}" pid="5" name="ICV">
    <vt:lpwstr>BF130C542CFF47819B65B8F08ADA7F0F_13</vt:lpwstr>
  </property>
</Properties>
</file>